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00BD" w:rsidRDefault="006B00BD" w:rsidP="00C84F38">
      <w:pPr>
        <w:pStyle w:val="Header"/>
        <w:tabs>
          <w:tab w:val="right" w:pos="9639"/>
        </w:tabs>
        <w:rPr>
          <w:bCs/>
          <w:noProof w:val="0"/>
          <w:sz w:val="24"/>
          <w:szCs w:val="24"/>
        </w:rPr>
      </w:pPr>
    </w:p>
    <w:p w:rsidR="000249BB" w:rsidRPr="009835BC" w:rsidRDefault="004C011A" w:rsidP="00A016F0">
      <w:pPr>
        <w:pStyle w:val="Header"/>
        <w:tabs>
          <w:tab w:val="right" w:pos="9639"/>
        </w:tabs>
        <w:rPr>
          <w:rFonts w:cs="Arial"/>
          <w:sz w:val="24"/>
          <w:szCs w:val="24"/>
          <w:lang w:val="de-DE"/>
        </w:rPr>
      </w:pPr>
      <w:r w:rsidRPr="009835BC">
        <w:rPr>
          <w:rFonts w:cs="Arial"/>
          <w:sz w:val="24"/>
          <w:szCs w:val="24"/>
          <w:lang w:val="de-DE"/>
        </w:rPr>
        <w:tab/>
      </w:r>
    </w:p>
    <w:p w:rsidR="00835870" w:rsidRPr="00835870" w:rsidRDefault="00835870" w:rsidP="00835870">
      <w:pPr>
        <w:pStyle w:val="Header"/>
        <w:tabs>
          <w:tab w:val="right" w:pos="9639"/>
        </w:tabs>
        <w:rPr>
          <w:rFonts w:cs="Arial"/>
          <w:sz w:val="24"/>
          <w:szCs w:val="24"/>
          <w:lang w:val="de-DE"/>
        </w:rPr>
      </w:pPr>
      <w:r w:rsidRPr="00835870">
        <w:rPr>
          <w:rFonts w:cs="Arial"/>
          <w:sz w:val="24"/>
          <w:szCs w:val="24"/>
          <w:lang w:val="de-DE"/>
        </w:rPr>
        <w:t>3GPP TSG R</w:t>
      </w:r>
      <w:r w:rsidR="00A634B5">
        <w:rPr>
          <w:rFonts w:cs="Arial"/>
          <w:sz w:val="24"/>
          <w:szCs w:val="24"/>
          <w:lang w:val="de-DE"/>
        </w:rPr>
        <w:t>AN WG1 Meeting #94bis</w:t>
      </w:r>
      <w:r w:rsidR="00A634B5">
        <w:rPr>
          <w:rFonts w:cs="Arial"/>
          <w:sz w:val="24"/>
          <w:szCs w:val="24"/>
          <w:lang w:val="de-DE"/>
        </w:rPr>
        <w:tab/>
        <w:t>R1-1811457</w:t>
      </w:r>
    </w:p>
    <w:p w:rsidR="00835870" w:rsidRPr="00835870" w:rsidRDefault="00835870" w:rsidP="00835870">
      <w:pPr>
        <w:pStyle w:val="Header"/>
        <w:tabs>
          <w:tab w:val="right" w:pos="9639"/>
        </w:tabs>
        <w:rPr>
          <w:rFonts w:cs="Arial" w:hint="eastAsia"/>
          <w:sz w:val="24"/>
          <w:szCs w:val="24"/>
          <w:lang w:val="de-DE"/>
        </w:rPr>
      </w:pPr>
      <w:r w:rsidRPr="00835870">
        <w:rPr>
          <w:rFonts w:cs="Arial"/>
          <w:sz w:val="24"/>
          <w:szCs w:val="24"/>
          <w:lang w:val="de-DE"/>
        </w:rPr>
        <w:t xml:space="preserve">Chengdu, China, October 8th – 12th, 2018 </w:t>
      </w:r>
    </w:p>
    <w:p w:rsidR="00A016F0" w:rsidRPr="0084651A" w:rsidRDefault="00A016F0" w:rsidP="000249BB">
      <w:pPr>
        <w:pStyle w:val="Header"/>
        <w:rPr>
          <w:bCs/>
          <w:noProof w:val="0"/>
          <w:sz w:val="24"/>
        </w:rPr>
      </w:pPr>
    </w:p>
    <w:p w:rsidR="004C011A" w:rsidRPr="00513BB3" w:rsidRDefault="004C011A" w:rsidP="004C011A">
      <w:pPr>
        <w:pStyle w:val="CRCoverPage"/>
        <w:tabs>
          <w:tab w:val="left" w:pos="1985"/>
        </w:tabs>
        <w:rPr>
          <w:rFonts w:cs="Arial"/>
          <w:b/>
          <w:bCs/>
          <w:color w:val="FF0000"/>
          <w:sz w:val="24"/>
        </w:rPr>
      </w:pPr>
      <w:r w:rsidRPr="001719AC">
        <w:rPr>
          <w:rFonts w:cs="Arial"/>
          <w:b/>
          <w:bCs/>
          <w:sz w:val="24"/>
        </w:rPr>
        <w:t>Agenda item:</w:t>
      </w:r>
      <w:r w:rsidRPr="001719AC">
        <w:rPr>
          <w:rFonts w:cs="Arial"/>
          <w:b/>
          <w:bCs/>
          <w:sz w:val="24"/>
        </w:rPr>
        <w:tab/>
      </w:r>
      <w:r w:rsidR="0090072F" w:rsidRPr="0090072F">
        <w:rPr>
          <w:rFonts w:eastAsia="Times New Roman" w:cs="Arial"/>
          <w:b/>
          <w:bCs/>
          <w:sz w:val="24"/>
        </w:rPr>
        <w:t>7.1.4</w:t>
      </w:r>
    </w:p>
    <w:p w:rsidR="000249BB" w:rsidRPr="0084651A" w:rsidRDefault="000249BB" w:rsidP="000249BB">
      <w:pPr>
        <w:tabs>
          <w:tab w:val="left" w:pos="1985"/>
        </w:tabs>
        <w:ind w:left="1985" w:hanging="1985"/>
        <w:rPr>
          <w:rFonts w:ascii="Arial" w:hAnsi="Arial" w:cs="Arial"/>
          <w:b/>
          <w:bCs/>
          <w:sz w:val="24"/>
        </w:rPr>
      </w:pPr>
      <w:r w:rsidRPr="0084651A">
        <w:rPr>
          <w:rFonts w:ascii="Arial" w:hAnsi="Arial" w:cs="Arial"/>
          <w:b/>
          <w:bCs/>
          <w:sz w:val="24"/>
        </w:rPr>
        <w:t>Source:</w:t>
      </w:r>
      <w:r w:rsidRPr="0084651A">
        <w:rPr>
          <w:rFonts w:ascii="Arial" w:hAnsi="Arial" w:cs="Arial"/>
          <w:b/>
          <w:bCs/>
          <w:sz w:val="24"/>
        </w:rPr>
        <w:tab/>
      </w:r>
      <w:bookmarkStart w:id="0" w:name="_Hlk506463981"/>
      <w:r w:rsidR="00FF31D6">
        <w:rPr>
          <w:rFonts w:ascii="Arial" w:hAnsi="Arial" w:cs="Arial"/>
          <w:b/>
          <w:bCs/>
          <w:sz w:val="24"/>
        </w:rPr>
        <w:t xml:space="preserve">Nokia, </w:t>
      </w:r>
      <w:r w:rsidR="00384454">
        <w:rPr>
          <w:rFonts w:ascii="Arial" w:hAnsi="Arial" w:cs="Arial"/>
          <w:b/>
          <w:bCs/>
          <w:sz w:val="24"/>
        </w:rPr>
        <w:t>Nokia</w:t>
      </w:r>
      <w:r w:rsidR="00FF31D6">
        <w:rPr>
          <w:rFonts w:ascii="Arial" w:hAnsi="Arial" w:cs="Arial"/>
          <w:b/>
          <w:bCs/>
          <w:sz w:val="24"/>
        </w:rPr>
        <w:t xml:space="preserve"> Shanghai Bell</w:t>
      </w:r>
      <w:bookmarkEnd w:id="0"/>
    </w:p>
    <w:p w:rsidR="002A4A4C" w:rsidRPr="002A4A4C" w:rsidRDefault="000249BB" w:rsidP="002A4A4C">
      <w:pPr>
        <w:ind w:left="1985" w:hanging="1985"/>
        <w:rPr>
          <w:rFonts w:ascii="Arial" w:hAnsi="Arial" w:cs="Arial"/>
          <w:b/>
          <w:bCs/>
          <w:sz w:val="24"/>
        </w:rPr>
      </w:pPr>
      <w:r w:rsidRPr="0084651A">
        <w:rPr>
          <w:rFonts w:ascii="Arial" w:hAnsi="Arial" w:cs="Arial"/>
          <w:b/>
          <w:bCs/>
          <w:sz w:val="24"/>
        </w:rPr>
        <w:t>Title:</w:t>
      </w:r>
      <w:r w:rsidRPr="0084651A">
        <w:rPr>
          <w:rFonts w:ascii="Arial" w:hAnsi="Arial" w:cs="Arial"/>
          <w:b/>
          <w:bCs/>
          <w:sz w:val="24"/>
        </w:rPr>
        <w:tab/>
      </w:r>
      <w:r w:rsidR="00835870">
        <w:rPr>
          <w:rFonts w:ascii="Arial" w:hAnsi="Arial" w:cs="Arial"/>
          <w:b/>
          <w:bCs/>
          <w:sz w:val="24"/>
        </w:rPr>
        <w:t>EN-DC</w:t>
      </w:r>
      <w:r w:rsidR="0090072F">
        <w:rPr>
          <w:rFonts w:ascii="Arial" w:hAnsi="Arial" w:cs="Arial"/>
          <w:b/>
          <w:bCs/>
          <w:sz w:val="24"/>
        </w:rPr>
        <w:t xml:space="preserve"> and NE-DC</w:t>
      </w:r>
      <w:r w:rsidR="00835870">
        <w:rPr>
          <w:rFonts w:ascii="Arial" w:hAnsi="Arial" w:cs="Arial"/>
          <w:b/>
          <w:bCs/>
          <w:sz w:val="24"/>
        </w:rPr>
        <w:t xml:space="preserve"> UL power control</w:t>
      </w:r>
      <w:r w:rsidR="00363C40" w:rsidRPr="00363C40">
        <w:rPr>
          <w:rFonts w:ascii="Arial" w:hAnsi="Arial" w:cs="Arial"/>
          <w:b/>
          <w:bCs/>
          <w:color w:val="FF0000"/>
          <w:sz w:val="24"/>
        </w:rPr>
        <w:t xml:space="preserve"> </w:t>
      </w:r>
    </w:p>
    <w:p w:rsidR="000249BB" w:rsidRPr="0084651A" w:rsidRDefault="000249BB" w:rsidP="000249BB">
      <w:pPr>
        <w:tabs>
          <w:tab w:val="left" w:pos="1985"/>
        </w:tabs>
        <w:rPr>
          <w:rFonts w:ascii="Arial" w:hAnsi="Arial" w:cs="Arial"/>
          <w:b/>
          <w:bCs/>
          <w:sz w:val="24"/>
        </w:rPr>
      </w:pPr>
      <w:r w:rsidRPr="0084651A">
        <w:rPr>
          <w:rFonts w:ascii="Arial" w:hAnsi="Arial" w:cs="Arial"/>
          <w:b/>
          <w:bCs/>
          <w:sz w:val="24"/>
        </w:rPr>
        <w:t>Document for:</w:t>
      </w:r>
      <w:r w:rsidRPr="0084651A">
        <w:rPr>
          <w:rFonts w:ascii="Arial" w:hAnsi="Arial" w:cs="Arial"/>
          <w:b/>
          <w:bCs/>
          <w:sz w:val="24"/>
        </w:rPr>
        <w:tab/>
      </w:r>
      <w:r w:rsidR="005E4B33">
        <w:rPr>
          <w:rFonts w:ascii="Arial" w:hAnsi="Arial" w:cs="Arial"/>
          <w:b/>
          <w:bCs/>
          <w:sz w:val="24"/>
        </w:rPr>
        <w:t>Discussion</w:t>
      </w:r>
    </w:p>
    <w:p w:rsidR="000249BB" w:rsidRPr="0084651A" w:rsidRDefault="000249BB" w:rsidP="000249BB">
      <w:pPr>
        <w:pStyle w:val="Heading1"/>
      </w:pPr>
      <w:r w:rsidRPr="0084651A">
        <w:t>1</w:t>
      </w:r>
      <w:r w:rsidRPr="0084651A">
        <w:tab/>
      </w:r>
      <w:r>
        <w:t>Introduction</w:t>
      </w:r>
    </w:p>
    <w:p w:rsidR="00926E08" w:rsidRDefault="009451C8" w:rsidP="00A427B4">
      <w:pPr>
        <w:tabs>
          <w:tab w:val="num" w:pos="720"/>
        </w:tabs>
        <w:rPr>
          <w:lang w:val="en-US"/>
        </w:rPr>
      </w:pPr>
      <w:r>
        <w:rPr>
          <w:lang w:val="en-US"/>
        </w:rPr>
        <w:t>RAN1, RAN4 and RAN have been discussing inter-band and intra-band EN-DC UL power control definitions and re</w:t>
      </w:r>
      <w:r w:rsidR="006E4EC1">
        <w:rPr>
          <w:lang w:val="en-US"/>
        </w:rPr>
        <w:t>quirements. In [1] RAN#81 endorsed</w:t>
      </w:r>
      <w:r>
        <w:rPr>
          <w:lang w:val="en-US"/>
        </w:rPr>
        <w:t xml:space="preserve"> the WF for inter-band EN-DC UL power control.</w:t>
      </w:r>
      <w:r w:rsidR="00940BB8">
        <w:rPr>
          <w:lang w:val="en-US"/>
        </w:rPr>
        <w:t xml:space="preserve"> Also the corresponding LS from RAN to RAN4 and cc:ed to RAN2 was sent in [2].</w:t>
      </w:r>
      <w:r>
        <w:rPr>
          <w:lang w:val="en-US"/>
        </w:rPr>
        <w:t xml:space="preserve"> </w:t>
      </w:r>
      <w:r w:rsidR="00A36425">
        <w:rPr>
          <w:lang w:val="en-US"/>
        </w:rPr>
        <w:t xml:space="preserve">In this </w:t>
      </w:r>
      <w:r>
        <w:rPr>
          <w:lang w:val="en-US"/>
        </w:rPr>
        <w:t>contribution</w:t>
      </w:r>
      <w:r w:rsidR="00A36425">
        <w:rPr>
          <w:lang w:val="en-US"/>
        </w:rPr>
        <w:t xml:space="preserve"> we discuss the implications of the recent RAN#81 decisions on RAN1</w:t>
      </w:r>
      <w:r>
        <w:rPr>
          <w:lang w:val="en-US"/>
        </w:rPr>
        <w:t xml:space="preserve">. </w:t>
      </w:r>
    </w:p>
    <w:p w:rsidR="00022C17" w:rsidRDefault="00926E08" w:rsidP="00A427B4">
      <w:pPr>
        <w:tabs>
          <w:tab w:val="num" w:pos="720"/>
        </w:tabs>
        <w:rPr>
          <w:lang w:val="en-US"/>
        </w:rPr>
      </w:pPr>
      <w:r>
        <w:rPr>
          <w:lang w:val="en-US"/>
        </w:rPr>
        <w:t>In this contribution w</w:t>
      </w:r>
      <w:r w:rsidR="00A36425">
        <w:rPr>
          <w:lang w:val="en-US"/>
        </w:rPr>
        <w:t>e also discuss how to introduce NE-DC UL power control in the RAN1 specifications.</w:t>
      </w:r>
    </w:p>
    <w:p w:rsidR="00A43960" w:rsidRPr="008E42FE" w:rsidRDefault="008D7C2E" w:rsidP="00A43960">
      <w:pPr>
        <w:pStyle w:val="Heading1"/>
        <w:rPr>
          <w:lang w:val="en-US"/>
        </w:rPr>
      </w:pPr>
      <w:r>
        <w:rPr>
          <w:lang w:val="en-US"/>
        </w:rPr>
        <w:t>2</w:t>
      </w:r>
      <w:r w:rsidR="00A43960">
        <w:rPr>
          <w:lang w:val="en-US"/>
        </w:rPr>
        <w:tab/>
      </w:r>
      <w:r w:rsidR="0090072F">
        <w:rPr>
          <w:lang w:val="en-US"/>
        </w:rPr>
        <w:t>EN-DC UL PC</w:t>
      </w:r>
    </w:p>
    <w:p w:rsidR="009451C8" w:rsidRDefault="009451C8" w:rsidP="00547521">
      <w:pPr>
        <w:tabs>
          <w:tab w:val="num" w:pos="720"/>
        </w:tabs>
        <w:rPr>
          <w:szCs w:val="22"/>
        </w:rPr>
      </w:pPr>
      <w:r>
        <w:rPr>
          <w:lang w:val="en-US"/>
        </w:rPr>
        <w:t xml:space="preserve">RAN#81 has provided the following </w:t>
      </w:r>
      <w:r w:rsidR="00C94C99">
        <w:rPr>
          <w:lang w:val="en-US"/>
        </w:rPr>
        <w:t>g</w:t>
      </w:r>
      <w:r w:rsidR="00C94C99" w:rsidRPr="009451C8">
        <w:t>uidance</w:t>
      </w:r>
      <w:r w:rsidRPr="009451C8">
        <w:t xml:space="preserve"> for RAN4 to develop Inter-band EN-DC </w:t>
      </w:r>
      <w:r w:rsidRPr="009451C8">
        <w:rPr>
          <w:lang w:val="en-US"/>
        </w:rPr>
        <w:t xml:space="preserve">Configured Output Power Requirements in Section </w:t>
      </w:r>
      <w:r w:rsidRPr="009451C8">
        <w:t>6.2B.4.1.3 of 38.101-3</w:t>
      </w:r>
      <w:r>
        <w:t xml:space="preserve">. These requirements define low and high limits for </w:t>
      </w:r>
      <w:r w:rsidRPr="00BA1AAE">
        <w:rPr>
          <w:lang w:eastAsia="x-none" w:bidi="bn-IN"/>
        </w:rPr>
        <w:t>P</w:t>
      </w:r>
      <w:r w:rsidRPr="00BA1AAE">
        <w:rPr>
          <w:vertAlign w:val="subscript"/>
          <w:lang w:eastAsia="x-none" w:bidi="bn-IN"/>
        </w:rPr>
        <w:t>CMAX_ EN-DC</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547521" w:rsidRPr="00153504" w:rsidTr="00153504">
        <w:tc>
          <w:tcPr>
            <w:tcW w:w="9576" w:type="dxa"/>
            <w:shd w:val="clear" w:color="auto" w:fill="auto"/>
          </w:tcPr>
          <w:p w:rsidR="00547521" w:rsidRDefault="00547521" w:rsidP="00153504">
            <w:pPr>
              <w:rPr>
                <w:szCs w:val="22"/>
              </w:rPr>
            </w:pPr>
            <w:r w:rsidRPr="00153504">
              <w:rPr>
                <w:szCs w:val="22"/>
              </w:rPr>
              <w:t xml:space="preserve"> </w:t>
            </w:r>
          </w:p>
          <w:p w:rsidR="001A4819" w:rsidRPr="009451C8" w:rsidRDefault="001A4819" w:rsidP="009451C8">
            <w:pPr>
              <w:numPr>
                <w:ilvl w:val="0"/>
                <w:numId w:val="6"/>
              </w:numPr>
              <w:rPr>
                <w:szCs w:val="22"/>
                <w:lang w:val="en-US"/>
              </w:rPr>
            </w:pPr>
            <w:r w:rsidRPr="009451C8">
              <w:rPr>
                <w:szCs w:val="22"/>
                <w:lang w:val="en-US"/>
              </w:rPr>
              <w:t>Use the RAN4 endorsed CR in R4-1811484 on Inter-band EN-DC configured Output power as a starting point and continue improving requirement in TS38.101-3 in the RAN4 meetings</w:t>
            </w:r>
          </w:p>
          <w:p w:rsidR="001A4819" w:rsidRPr="009451C8" w:rsidRDefault="001A4819" w:rsidP="009451C8">
            <w:pPr>
              <w:numPr>
                <w:ilvl w:val="1"/>
                <w:numId w:val="6"/>
              </w:numPr>
              <w:rPr>
                <w:szCs w:val="22"/>
                <w:lang w:val="en-US"/>
              </w:rPr>
            </w:pPr>
            <w:r w:rsidRPr="009451C8">
              <w:rPr>
                <w:szCs w:val="22"/>
                <w:lang w:val="en-US"/>
              </w:rPr>
              <w:t>to prevent unnecessary NR dropping for dynamic power sharing EN-DC UEs when there is ’real’ power left from LTE UL</w:t>
            </w:r>
          </w:p>
          <w:p w:rsidR="001A4819" w:rsidRPr="009451C8" w:rsidRDefault="001A4819" w:rsidP="009451C8">
            <w:pPr>
              <w:numPr>
                <w:ilvl w:val="0"/>
                <w:numId w:val="6"/>
              </w:numPr>
              <w:rPr>
                <w:szCs w:val="22"/>
                <w:lang w:val="en-US"/>
              </w:rPr>
            </w:pPr>
            <w:r w:rsidRPr="009451C8">
              <w:rPr>
                <w:szCs w:val="22"/>
                <w:lang w:val="en-US"/>
              </w:rPr>
              <w:t>The following conditions should be used when improving the RAN4 Inter-band EN-DC Configured Output Power requirements:</w:t>
            </w:r>
          </w:p>
          <w:p w:rsidR="001A4819" w:rsidRPr="009451C8" w:rsidRDefault="001A4819" w:rsidP="009451C8">
            <w:pPr>
              <w:numPr>
                <w:ilvl w:val="1"/>
                <w:numId w:val="6"/>
              </w:numPr>
              <w:rPr>
                <w:szCs w:val="22"/>
                <w:lang w:val="en-US"/>
              </w:rPr>
            </w:pPr>
            <w:r w:rsidRPr="009451C8">
              <w:rPr>
                <w:szCs w:val="22"/>
                <w:lang w:val="en-US"/>
              </w:rPr>
              <w:t>UE is allowed to drop NR only if the power scaling applied to NR means that the difference between scaled and unscaled NR UL power is more than XdB. In other cases the UE does power scaling of NR UL.</w:t>
            </w:r>
          </w:p>
          <w:p w:rsidR="001A4819" w:rsidRPr="009451C8" w:rsidRDefault="001A4819" w:rsidP="009451C8">
            <w:pPr>
              <w:numPr>
                <w:ilvl w:val="2"/>
                <w:numId w:val="6"/>
              </w:numPr>
              <w:rPr>
                <w:szCs w:val="22"/>
                <w:lang w:val="en-US"/>
              </w:rPr>
            </w:pPr>
            <w:r w:rsidRPr="009451C8">
              <w:rPr>
                <w:szCs w:val="22"/>
                <w:lang w:val="en-US"/>
              </w:rPr>
              <w:t>X dB is RRC configured parameter with 4 fixed values and X is [0, 2, 4 or 6] dB. The UE has to be able to support all these 4 configurable X values.</w:t>
            </w:r>
          </w:p>
          <w:p w:rsidR="001A4819" w:rsidRPr="009451C8" w:rsidRDefault="001A4819" w:rsidP="009451C8">
            <w:pPr>
              <w:numPr>
                <w:ilvl w:val="2"/>
                <w:numId w:val="6"/>
              </w:numPr>
              <w:rPr>
                <w:szCs w:val="22"/>
                <w:lang w:val="en-US"/>
              </w:rPr>
            </w:pPr>
            <w:r w:rsidRPr="009451C8">
              <w:rPr>
                <w:szCs w:val="22"/>
                <w:lang w:val="en-US"/>
              </w:rPr>
              <w:t>This threshold X dB does not limit the UE performance but only defines the UE minimum performance (i.e. UE can perform better than the minimum performance)</w:t>
            </w:r>
          </w:p>
          <w:p w:rsidR="001A4819" w:rsidRPr="009451C8" w:rsidRDefault="001A4819" w:rsidP="009451C8">
            <w:pPr>
              <w:numPr>
                <w:ilvl w:val="0"/>
                <w:numId w:val="6"/>
              </w:numPr>
              <w:rPr>
                <w:szCs w:val="22"/>
                <w:lang w:val="en-US"/>
              </w:rPr>
            </w:pPr>
            <w:r w:rsidRPr="009451C8">
              <w:rPr>
                <w:szCs w:val="22"/>
                <w:lang w:val="en-US"/>
              </w:rPr>
              <w:t>Handling of partial overlap needs to be addressed (including possibility to leave this up to the UE implementation)</w:t>
            </w:r>
          </w:p>
          <w:p w:rsidR="009451C8" w:rsidRPr="00153504" w:rsidRDefault="001A4819" w:rsidP="009451C8">
            <w:pPr>
              <w:numPr>
                <w:ilvl w:val="0"/>
                <w:numId w:val="6"/>
              </w:numPr>
              <w:rPr>
                <w:szCs w:val="22"/>
              </w:rPr>
            </w:pPr>
            <w:r w:rsidRPr="009451C8">
              <w:rPr>
                <w:szCs w:val="22"/>
                <w:lang w:val="en-US"/>
              </w:rPr>
              <w:t>Handling of multiple NR UL carriers needs to be addressed (including possibility to leave this up to the UE implementation)</w:t>
            </w:r>
          </w:p>
        </w:tc>
      </w:tr>
    </w:tbl>
    <w:p w:rsidR="00547521" w:rsidRPr="00C53917" w:rsidRDefault="00547521" w:rsidP="00547521">
      <w:pPr>
        <w:tabs>
          <w:tab w:val="num" w:pos="720"/>
        </w:tabs>
        <w:rPr>
          <w:szCs w:val="22"/>
        </w:rPr>
      </w:pPr>
    </w:p>
    <w:p w:rsidR="00E118B8" w:rsidRDefault="005F54CA" w:rsidP="00D44259">
      <w:pPr>
        <w:tabs>
          <w:tab w:val="num" w:pos="720"/>
        </w:tabs>
        <w:rPr>
          <w:lang w:val="en-US"/>
        </w:rPr>
      </w:pPr>
      <w:r w:rsidRPr="005F54CA">
        <w:lastRenderedPageBreak/>
        <w:t xml:space="preserve">This </w:t>
      </w:r>
      <w:r>
        <w:t>WF means that</w:t>
      </w:r>
      <w:r w:rsidR="00C94C99">
        <w:t xml:space="preserve"> the</w:t>
      </w:r>
      <w:r>
        <w:t xml:space="preserve"> RAN4 requirements will defines limits when the UE may drop NR UL power</w:t>
      </w:r>
      <w:r w:rsidR="00191DF7">
        <w:t xml:space="preserve"> and </w:t>
      </w:r>
      <w:r>
        <w:t>the UE needs to be able to scale its NR UL power</w:t>
      </w:r>
      <w:r w:rsidR="00191DF7">
        <w:t xml:space="preserve"> so that LTE UL power is first given priority </w:t>
      </w:r>
      <w:r w:rsidR="00C94C99">
        <w:t xml:space="preserve">during EN-DC operations </w:t>
      </w:r>
      <w:r w:rsidR="00191DF7">
        <w:t>as specified by TS38.213.</w:t>
      </w:r>
      <w:r w:rsidR="009F2432">
        <w:t xml:space="preserve"> This WF also instructs RAN4 to address handling of partial overlap and multiple NR UL carriers in its requirements. </w:t>
      </w:r>
      <w:r w:rsidR="0019562F">
        <w:t>The EN-DC UL PC procedures in the RAN1 specifications enable both scaling and dropping of NR UL. Thus, a</w:t>
      </w:r>
      <w:r w:rsidR="009F2432">
        <w:t>fter</w:t>
      </w:r>
      <w:r w:rsidR="006E4EC1">
        <w:t xml:space="preserve"> agreeing</w:t>
      </w:r>
      <w:r w:rsidR="0019562F">
        <w:t xml:space="preserve"> the</w:t>
      </w:r>
      <w:r w:rsidR="009F2432">
        <w:t xml:space="preserve"> WF</w:t>
      </w:r>
      <w:r w:rsidR="0019562F">
        <w:t xml:space="preserve"> in [1]</w:t>
      </w:r>
      <w:r w:rsidR="009F2432">
        <w:t xml:space="preserve"> and once the RAN4 has introduced the</w:t>
      </w:r>
      <w:r w:rsidR="009F2432" w:rsidRPr="009451C8">
        <w:t xml:space="preserve"> Inter-band EN-DC </w:t>
      </w:r>
      <w:r w:rsidR="009F2432" w:rsidRPr="009451C8">
        <w:rPr>
          <w:lang w:val="en-US"/>
        </w:rPr>
        <w:t>Configured Output Power Requirements</w:t>
      </w:r>
      <w:r w:rsidR="009F2432">
        <w:rPr>
          <w:lang w:val="en-US"/>
        </w:rPr>
        <w:t xml:space="preserve"> to TS3</w:t>
      </w:r>
      <w:r w:rsidR="00E118B8">
        <w:rPr>
          <w:lang w:val="en-US"/>
        </w:rPr>
        <w:t>8.101-3</w:t>
      </w:r>
      <w:r w:rsidR="0019562F">
        <w:rPr>
          <w:lang w:val="en-US"/>
        </w:rPr>
        <w:t>,</w:t>
      </w:r>
      <w:r w:rsidR="00E118B8">
        <w:rPr>
          <w:lang w:val="en-US"/>
        </w:rPr>
        <w:t xml:space="preserve"> </w:t>
      </w:r>
      <w:r w:rsidR="005B1FBF">
        <w:rPr>
          <w:lang w:val="en-US"/>
        </w:rPr>
        <w:t>we do not see need for any further updates to the</w:t>
      </w:r>
      <w:r w:rsidR="00E118B8">
        <w:rPr>
          <w:lang w:val="en-US"/>
        </w:rPr>
        <w:t xml:space="preserve"> RAN1 specifications for supporting inter-band EN-DC UL. </w:t>
      </w:r>
      <w:r w:rsidR="006E4EC1">
        <w:rPr>
          <w:lang w:val="en-US"/>
        </w:rPr>
        <w:t>RAN4 is also working on intra-band EN-DC UL related UE requirements as indicated in the RAN4 endorsed WF in [</w:t>
      </w:r>
      <w:r w:rsidR="00940BB8">
        <w:rPr>
          <w:lang w:val="en-US"/>
        </w:rPr>
        <w:t>3</w:t>
      </w:r>
      <w:r w:rsidR="006E4EC1">
        <w:rPr>
          <w:lang w:val="en-US"/>
        </w:rPr>
        <w:t>]</w:t>
      </w:r>
      <w:r w:rsidR="00835398">
        <w:rPr>
          <w:lang w:val="en-US"/>
        </w:rPr>
        <w:t xml:space="preserve">. </w:t>
      </w:r>
      <w:r w:rsidR="0019562F">
        <w:rPr>
          <w:lang w:val="en-US"/>
        </w:rPr>
        <w:t xml:space="preserve">Furthermore, </w:t>
      </w:r>
      <w:r w:rsidR="00940BB8">
        <w:rPr>
          <w:lang w:val="en-US"/>
        </w:rPr>
        <w:t>in the LS</w:t>
      </w:r>
      <w:r w:rsidR="00C44176">
        <w:rPr>
          <w:lang w:val="en-US"/>
        </w:rPr>
        <w:t xml:space="preserve"> </w:t>
      </w:r>
      <w:r w:rsidR="00940BB8">
        <w:rPr>
          <w:lang w:val="en-US"/>
        </w:rPr>
        <w:t xml:space="preserve">[2] RAN </w:t>
      </w:r>
      <w:r w:rsidR="0019562F">
        <w:rPr>
          <w:lang w:val="en-US"/>
        </w:rPr>
        <w:t xml:space="preserve">also </w:t>
      </w:r>
      <w:r w:rsidR="00940BB8">
        <w:rPr>
          <w:lang w:val="en-US"/>
        </w:rPr>
        <w:t xml:space="preserve">urges RAN4 to continue defining UE intra-band EN-DC UL PC requirements. </w:t>
      </w:r>
      <w:r w:rsidR="004E61E2">
        <w:rPr>
          <w:lang w:val="en-US"/>
        </w:rPr>
        <w:t>EN-DC power control definition proposal to 38.101-3 is proposed in [4], and when RAN4 completes the work, nothing further is needed for EN-DC uplink power control in RAN1.</w:t>
      </w:r>
    </w:p>
    <w:p w:rsidR="0065461A" w:rsidRPr="00835398" w:rsidRDefault="00E118B8" w:rsidP="00D44259">
      <w:pPr>
        <w:tabs>
          <w:tab w:val="num" w:pos="720"/>
        </w:tabs>
        <w:rPr>
          <w:b/>
          <w:lang w:val="en-US"/>
        </w:rPr>
      </w:pPr>
      <w:r w:rsidRPr="00835398">
        <w:rPr>
          <w:b/>
          <w:lang w:val="en-US"/>
        </w:rPr>
        <w:t>Observation 1:</w:t>
      </w:r>
      <w:r w:rsidR="00835398" w:rsidRPr="00835398">
        <w:rPr>
          <w:b/>
          <w:lang w:val="en-US"/>
        </w:rPr>
        <w:t xml:space="preserve"> </w:t>
      </w:r>
      <w:r w:rsidR="00835398" w:rsidRPr="005532AF">
        <w:rPr>
          <w:lang w:val="en-US"/>
        </w:rPr>
        <w:t>No RAN1 specification changes are needed for inter-band EN-DC UL PC.</w:t>
      </w:r>
    </w:p>
    <w:p w:rsidR="00835398" w:rsidRPr="00835398" w:rsidRDefault="00835398" w:rsidP="00D44259">
      <w:pPr>
        <w:tabs>
          <w:tab w:val="num" w:pos="720"/>
        </w:tabs>
        <w:rPr>
          <w:b/>
          <w:lang w:val="en-US"/>
        </w:rPr>
      </w:pPr>
      <w:r w:rsidRPr="00835398">
        <w:rPr>
          <w:b/>
          <w:lang w:val="en-US"/>
        </w:rPr>
        <w:t xml:space="preserve">Observation 2: </w:t>
      </w:r>
      <w:r w:rsidRPr="005532AF">
        <w:rPr>
          <w:lang w:val="en-US"/>
        </w:rPr>
        <w:t>No RAN1 specification changes are needed for intra-band EN-DC UL PC unless RAN4 will request further support from RAN1.</w:t>
      </w:r>
    </w:p>
    <w:p w:rsidR="00C94C99" w:rsidRPr="005532AF" w:rsidRDefault="00092532" w:rsidP="00D44259">
      <w:pPr>
        <w:tabs>
          <w:tab w:val="num" w:pos="720"/>
        </w:tabs>
      </w:pPr>
      <w:r>
        <w:rPr>
          <w:b/>
        </w:rPr>
        <w:t xml:space="preserve">Conclusion: </w:t>
      </w:r>
      <w:r w:rsidR="00F266C6" w:rsidRPr="005532AF">
        <w:t>No further action is needed in RAN1 for EN-DC uplink power control</w:t>
      </w:r>
    </w:p>
    <w:p w:rsidR="0090072F" w:rsidRPr="008E42FE" w:rsidRDefault="00A36425" w:rsidP="0090072F">
      <w:pPr>
        <w:pStyle w:val="Heading1"/>
        <w:rPr>
          <w:lang w:val="en-US"/>
        </w:rPr>
      </w:pPr>
      <w:r>
        <w:rPr>
          <w:lang w:val="en-US"/>
        </w:rPr>
        <w:t>3</w:t>
      </w:r>
      <w:r w:rsidR="0090072F">
        <w:rPr>
          <w:lang w:val="en-US"/>
        </w:rPr>
        <w:tab/>
        <w:t>NE-DC UL PC</w:t>
      </w:r>
    </w:p>
    <w:p w:rsidR="00CE460A" w:rsidRDefault="00CE460A" w:rsidP="00CE460A">
      <w:pPr>
        <w:rPr>
          <w:lang w:val="en-US"/>
        </w:rPr>
      </w:pPr>
      <w:r>
        <w:t>The RAN March 2018 specifications provide support for EN-DC with architecture option 3. RAN#79 endorsed a plan for finalizing all NR architectur</w:t>
      </w:r>
      <w:r w:rsidR="004E61E2">
        <w:t>e options [5</w:t>
      </w:r>
      <w:r>
        <w:t>] with the following guidance to RAN1:</w:t>
      </w:r>
    </w:p>
    <w:p w:rsidR="00CE460A" w:rsidRDefault="0026637D" w:rsidP="00CE460A">
      <w:pPr>
        <w:ind w:left="568"/>
      </w:pPr>
      <w:r>
        <w:pict>
          <v:shapetype id="_x0000_t202" coordsize="21600,21600" o:spt="202" path="m,l,21600r21600,l21600,xe">
            <v:stroke joinstyle="miter"/>
            <v:path gradientshapeok="t" o:connecttype="rect"/>
          </v:shapetype>
          <v:shape id="Text Box 2" o:spid="_x0000_s1026" type="#_x0000_t202" style="width:399.75pt;height:69.3pt;visibility:visible;mso-position-horizontal-relative:char;mso-position-vertical-relative:line">
            <v:textbox style="mso-fit-shape-to-text:t">
              <w:txbxContent>
                <w:p w:rsidR="00CE460A" w:rsidRDefault="00CE460A" w:rsidP="00CE460A">
                  <w:pPr>
                    <w:spacing w:after="0"/>
                  </w:pPr>
                  <w:r>
                    <w:t>NR Option 4 “to do list” – RAN1</w:t>
                  </w:r>
                </w:p>
                <w:p w:rsidR="00CE460A" w:rsidRDefault="00CE460A" w:rsidP="00CE460A">
                  <w:pPr>
                    <w:numPr>
                      <w:ilvl w:val="0"/>
                      <w:numId w:val="8"/>
                    </w:numPr>
                    <w:spacing w:after="0" w:line="256" w:lineRule="auto"/>
                  </w:pPr>
                  <w:r>
                    <w:t>Need to evaluate whether new design on power control, multiplexing, etc. is needed for both LTE &amp; NR specs</w:t>
                  </w:r>
                </w:p>
                <w:p w:rsidR="00CE460A" w:rsidRDefault="00CE460A" w:rsidP="00CE460A">
                  <w:pPr>
                    <w:numPr>
                      <w:ilvl w:val="1"/>
                      <w:numId w:val="8"/>
                    </w:numPr>
                    <w:spacing w:after="0" w:line="256" w:lineRule="auto"/>
                  </w:pPr>
                  <w:r>
                    <w:t>Strive for minimum RAN1 specification impact</w:t>
                  </w:r>
                </w:p>
                <w:p w:rsidR="00CE460A" w:rsidRDefault="00CE460A" w:rsidP="00CE460A">
                  <w:pPr>
                    <w:numPr>
                      <w:ilvl w:val="1"/>
                      <w:numId w:val="8"/>
                    </w:numPr>
                    <w:spacing w:after="0" w:line="256" w:lineRule="auto"/>
                  </w:pPr>
                  <w:r>
                    <w:t>Some (limited) RAN1 meeting time is expected</w:t>
                  </w:r>
                </w:p>
              </w:txbxContent>
            </v:textbox>
            <w10:anchorlock/>
          </v:shape>
        </w:pict>
      </w:r>
    </w:p>
    <w:p w:rsidR="00CE460A" w:rsidRDefault="00CE460A" w:rsidP="00CE46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CE460A" w:rsidRPr="00361561" w:rsidTr="00361561">
        <w:tc>
          <w:tcPr>
            <w:tcW w:w="4814" w:type="dxa"/>
            <w:tcBorders>
              <w:top w:val="single" w:sz="4" w:space="0" w:color="auto"/>
              <w:left w:val="single" w:sz="4" w:space="0" w:color="auto"/>
              <w:bottom w:val="single" w:sz="4" w:space="0" w:color="auto"/>
              <w:right w:val="single" w:sz="4" w:space="0" w:color="auto"/>
            </w:tcBorders>
            <w:shd w:val="clear" w:color="auto" w:fill="auto"/>
            <w:hideMark/>
          </w:tcPr>
          <w:p w:rsidR="00CE460A" w:rsidRDefault="00CE460A" w:rsidP="00361561">
            <w:pPr>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6" type="#_x0000_t75" style="width:139.5pt;height:155.5pt;visibility:visible">
                  <v:imagedata r:id="rId13" o:title=""/>
                </v:shape>
              </w:pict>
            </w:r>
          </w:p>
          <w:p w:rsidR="00CE460A" w:rsidRDefault="00CE460A" w:rsidP="00361561">
            <w:pPr>
              <w:jc w:val="center"/>
            </w:pPr>
            <w:r w:rsidRPr="00361561">
              <w:rPr>
                <w:b/>
              </w:rPr>
              <w:t>Option 3</w:t>
            </w:r>
            <w:r>
              <w:t>: NSA EN-DC with LTE as the anchor</w:t>
            </w:r>
          </w:p>
        </w:tc>
        <w:tc>
          <w:tcPr>
            <w:tcW w:w="4815" w:type="dxa"/>
            <w:tcBorders>
              <w:top w:val="single" w:sz="4" w:space="0" w:color="auto"/>
              <w:left w:val="single" w:sz="4" w:space="0" w:color="auto"/>
              <w:bottom w:val="single" w:sz="4" w:space="0" w:color="auto"/>
              <w:right w:val="single" w:sz="4" w:space="0" w:color="auto"/>
            </w:tcBorders>
            <w:shd w:val="clear" w:color="auto" w:fill="auto"/>
            <w:hideMark/>
          </w:tcPr>
          <w:p w:rsidR="00CE460A" w:rsidRDefault="00CE460A" w:rsidP="00361561">
            <w:pPr>
              <w:jc w:val="center"/>
            </w:pPr>
            <w:r>
              <w:rPr>
                <w:noProof/>
              </w:rPr>
              <w:pict>
                <v:shape id="Picture 7" o:spid="_x0000_i1027" type="#_x0000_t75" style="width:139pt;height:155.5pt;visibility:visible">
                  <v:imagedata r:id="rId14" o:title=""/>
                </v:shape>
              </w:pict>
            </w:r>
          </w:p>
          <w:p w:rsidR="00CE460A" w:rsidRDefault="00CE460A" w:rsidP="00361561">
            <w:pPr>
              <w:jc w:val="center"/>
            </w:pPr>
            <w:r w:rsidRPr="00361561">
              <w:rPr>
                <w:b/>
              </w:rPr>
              <w:t>Option 4</w:t>
            </w:r>
            <w:r>
              <w:t>: NSA NE-DC with NR as the anchor</w:t>
            </w:r>
          </w:p>
        </w:tc>
      </w:tr>
    </w:tbl>
    <w:p w:rsidR="00CE460A" w:rsidRDefault="00CE460A" w:rsidP="00CE460A">
      <w:pPr>
        <w:rPr>
          <w:rFonts w:ascii="Calibri" w:eastAsia="Calibri" w:hAnsi="Calibri"/>
          <w:sz w:val="22"/>
          <w:szCs w:val="22"/>
        </w:rPr>
      </w:pPr>
    </w:p>
    <w:p w:rsidR="00CE460A" w:rsidRPr="00CE460A" w:rsidRDefault="00CE460A" w:rsidP="00CE460A">
      <w:r w:rsidRPr="00CE460A">
        <w:t xml:space="preserve">Since that, RAN1 has been submitted with numerous contributions related to the </w:t>
      </w:r>
      <w:r>
        <w:t>matter to RAN1#92bis, RAN#93 and RAN1#94 [</w:t>
      </w:r>
      <w:r w:rsidR="004E61E2">
        <w:t>6…10</w:t>
      </w:r>
      <w:r>
        <w:t>], but with no proper conclusion in RAN1. The common thread in all the proposals appears to be the same – the EN-DC behaviour should be reused, but with the priority on NR rather than LTE transmissions.</w:t>
      </w:r>
    </w:p>
    <w:p w:rsidR="00092532" w:rsidRDefault="00092532" w:rsidP="00092532">
      <w:pPr>
        <w:rPr>
          <w:lang w:val="en-US"/>
        </w:rPr>
      </w:pPr>
      <w:r>
        <w:rPr>
          <w:b/>
        </w:rPr>
        <w:t xml:space="preserve">Proposal 1: </w:t>
      </w:r>
      <w:r>
        <w:rPr>
          <w:lang w:val="x-none" w:eastAsia="ja-JP"/>
        </w:rPr>
        <w:t xml:space="preserve">If the UE </w:t>
      </w:r>
      <w:r>
        <w:rPr>
          <w:lang w:eastAsia="ja-JP"/>
        </w:rPr>
        <w:t xml:space="preserve">is </w:t>
      </w:r>
      <w:r>
        <w:rPr>
          <w:lang w:val="x-none" w:eastAsia="zh-CN"/>
        </w:rPr>
        <w:t>configured</w:t>
      </w:r>
      <w:r>
        <w:rPr>
          <w:lang w:val="x-none"/>
        </w:rPr>
        <w:t xml:space="preserve"> </w:t>
      </w:r>
      <w:r>
        <w:rPr>
          <w:lang w:val="x-none" w:eastAsia="zh-CN"/>
        </w:rPr>
        <w:t xml:space="preserve">with </w:t>
      </w:r>
      <w:r>
        <w:rPr>
          <w:lang w:val="x-none"/>
        </w:rPr>
        <w:t>reference TDD configuration</w:t>
      </w:r>
      <w:r>
        <w:rPr>
          <w:lang w:val="x-none" w:eastAsia="zh-CN"/>
        </w:rPr>
        <w:t xml:space="preserve"> </w:t>
      </w:r>
      <w:r>
        <w:rPr>
          <w:lang w:eastAsia="zh-CN"/>
        </w:rPr>
        <w:t>for EUTRA</w:t>
      </w:r>
      <w:r>
        <w:t>: Extend the behavio</w:t>
      </w:r>
      <w:r w:rsidR="00F266C6">
        <w:t>u</w:t>
      </w:r>
      <w:r>
        <w:t>r defined in 38.213 subclause 7.6.1 to apply as is also for the case where MCG uses NR and SCG uses LTE.</w:t>
      </w:r>
    </w:p>
    <w:p w:rsidR="00092532" w:rsidRDefault="00092532" w:rsidP="00092532">
      <w:r>
        <w:rPr>
          <w:b/>
        </w:rPr>
        <w:lastRenderedPageBreak/>
        <w:t xml:space="preserve">Proposal 2: </w:t>
      </w:r>
      <w:r>
        <w:rPr>
          <w:lang w:val="x-none" w:eastAsia="ja-JP"/>
        </w:rPr>
        <w:t>If the UE indicate</w:t>
      </w:r>
      <w:r>
        <w:rPr>
          <w:lang w:eastAsia="ja-JP"/>
        </w:rPr>
        <w:t>s</w:t>
      </w:r>
      <w:r>
        <w:rPr>
          <w:lang w:val="x-none" w:eastAsia="ja-JP"/>
        </w:rPr>
        <w:t xml:space="preserve"> a capability for dynamic power sharing</w:t>
      </w:r>
      <w:r>
        <w:rPr>
          <w:lang w:eastAsia="ja-JP"/>
        </w:rPr>
        <w:t xml:space="preserve"> between EUTRA and NR</w:t>
      </w:r>
      <w:r>
        <w:t xml:space="preserve"> and the MCG uses NR and SCG uses LTE: </w:t>
      </w:r>
    </w:p>
    <w:p w:rsidR="00092532" w:rsidRDefault="00092532" w:rsidP="00092532">
      <w:pPr>
        <w:pStyle w:val="ListParagraph"/>
        <w:numPr>
          <w:ilvl w:val="0"/>
          <w:numId w:val="10"/>
        </w:numPr>
        <w:spacing w:after="0" w:line="256" w:lineRule="auto"/>
        <w:rPr>
          <w:lang w:val="en-US"/>
        </w:rPr>
      </w:pPr>
      <w:r>
        <w:rPr>
          <w:lang w:val="en-US"/>
        </w:rPr>
        <w:t>The NR power control behavior follows the same definition as when there was no SCG using LTE configured.</w:t>
      </w:r>
    </w:p>
    <w:p w:rsidR="00092532" w:rsidRDefault="00092532" w:rsidP="00092532">
      <w:pPr>
        <w:pStyle w:val="ListParagraph"/>
        <w:numPr>
          <w:ilvl w:val="0"/>
          <w:numId w:val="10"/>
        </w:numPr>
        <w:spacing w:after="0" w:line="256" w:lineRule="auto"/>
        <w:rPr>
          <w:lang w:val="en-US"/>
        </w:rPr>
      </w:pPr>
      <w:r>
        <w:rPr>
          <w:lang w:val="en-US"/>
        </w:rPr>
        <w:t xml:space="preserve">The LTE power control calculates a new </w:t>
      </w:r>
      <w:r>
        <w:rPr>
          <w:i/>
          <w:lang w:val="en-US"/>
        </w:rPr>
        <w:t>P</w:t>
      </w:r>
      <w:r>
        <w:rPr>
          <w:i/>
          <w:vertAlign w:val="subscript"/>
          <w:lang w:val="en-US"/>
        </w:rPr>
        <w:t>CMAX,c</w:t>
      </w:r>
      <w:r>
        <w:rPr>
          <w:i/>
          <w:lang w:val="en-US"/>
        </w:rPr>
        <w:t>(i)</w:t>
      </w:r>
      <w:r>
        <w:rPr>
          <w:lang w:val="en-US"/>
        </w:rPr>
        <w:t>, taking the power used by the NR transmission into account.</w:t>
      </w:r>
    </w:p>
    <w:p w:rsidR="00092532" w:rsidRDefault="00092532" w:rsidP="00092532">
      <w:pPr>
        <w:pStyle w:val="ListParagraph"/>
        <w:ind w:left="0"/>
        <w:rPr>
          <w:lang w:val="en-US"/>
        </w:rPr>
      </w:pPr>
    </w:p>
    <w:p w:rsidR="00092532" w:rsidRDefault="00092532" w:rsidP="00092532">
      <w:pPr>
        <w:pStyle w:val="ListParagraph"/>
        <w:ind w:left="0"/>
        <w:rPr>
          <w:lang w:val="en-US"/>
        </w:rPr>
      </w:pPr>
    </w:p>
    <w:p w:rsidR="00092532" w:rsidRDefault="00092532" w:rsidP="00092532">
      <w:pPr>
        <w:pStyle w:val="ListParagraph"/>
        <w:ind w:left="0"/>
        <w:rPr>
          <w:lang w:val="en-US"/>
        </w:rPr>
      </w:pPr>
      <w:r>
        <w:rPr>
          <w:lang w:val="en-US"/>
        </w:rPr>
        <w:t>RAN</w:t>
      </w:r>
      <w:r w:rsidR="00F266C6">
        <w:rPr>
          <w:lang w:val="en-US"/>
        </w:rPr>
        <w:t>4 TS38.101</w:t>
      </w:r>
      <w:r w:rsidR="004E61E2">
        <w:rPr>
          <w:lang w:val="en-US"/>
        </w:rPr>
        <w:t>-3</w:t>
      </w:r>
      <w:r w:rsidR="00F266C6">
        <w:rPr>
          <w:lang w:val="en-US"/>
        </w:rPr>
        <w:t xml:space="preserve"> currently </w:t>
      </w:r>
      <w:r w:rsidR="00E84C33">
        <w:rPr>
          <w:lang w:val="en-US"/>
        </w:rPr>
        <w:t xml:space="preserve">has subclauses for EN-DC, but the corresponding NE-DC subclauses are missing. As the NR power control is otherwise agnostic to the fact that LTE is there, the regular NR power control rules apply, apart from the </w:t>
      </w:r>
      <w:r w:rsidR="00E84C33">
        <w:rPr>
          <w:i/>
          <w:lang w:val="en-US"/>
        </w:rPr>
        <w:t>P</w:t>
      </w:r>
      <w:r w:rsidR="00E84C33">
        <w:rPr>
          <w:i/>
          <w:vertAlign w:val="subscript"/>
          <w:lang w:val="en-US"/>
        </w:rPr>
        <w:t>CMAX,c</w:t>
      </w:r>
      <w:r w:rsidR="00E84C33">
        <w:rPr>
          <w:i/>
          <w:lang w:val="en-US"/>
        </w:rPr>
        <w:t>(i)</w:t>
      </w:r>
      <w:r w:rsidR="00E84C33">
        <w:rPr>
          <w:lang w:val="en-US"/>
        </w:rPr>
        <w:t>, hence RAN4 should be triggered to extend the power scaling definitions to cover the NE-DC case.</w:t>
      </w:r>
    </w:p>
    <w:p w:rsidR="005532AF" w:rsidRDefault="005532AF" w:rsidP="00092532">
      <w:r>
        <w:rPr>
          <w:b/>
        </w:rPr>
        <w:t xml:space="preserve">Proposal 3: </w:t>
      </w:r>
      <w:r>
        <w:t>Adopt the text proposals in the Annex A and B to TS38.214 and TS36.213 respectively</w:t>
      </w:r>
    </w:p>
    <w:p w:rsidR="005532AF" w:rsidRPr="005532AF" w:rsidRDefault="005532AF" w:rsidP="00092532">
      <w:r>
        <w:rPr>
          <w:b/>
        </w:rPr>
        <w:t xml:space="preserve">Proposal 4: </w:t>
      </w:r>
      <w:r>
        <w:rPr>
          <w:lang w:val="x-none" w:eastAsia="ja-JP"/>
        </w:rPr>
        <w:t xml:space="preserve">Send an LS to RAN4 requesting for the new </w:t>
      </w:r>
      <w:r>
        <w:rPr>
          <w:i/>
        </w:rPr>
        <w:t>P</w:t>
      </w:r>
      <w:r>
        <w:rPr>
          <w:i/>
          <w:vertAlign w:val="subscript"/>
        </w:rPr>
        <w:t>CMAX,c</w:t>
      </w:r>
      <w:r>
        <w:rPr>
          <w:i/>
        </w:rPr>
        <w:t>(i)</w:t>
      </w:r>
      <w:r>
        <w:t xml:space="preserve"> calculation for the case where MCG uses NR and SCG uses LTE.</w:t>
      </w:r>
    </w:p>
    <w:p w:rsidR="0050536B" w:rsidRPr="008E42FE" w:rsidRDefault="0090072F" w:rsidP="0050536B">
      <w:pPr>
        <w:pStyle w:val="Heading1"/>
        <w:rPr>
          <w:lang w:val="en-US"/>
        </w:rPr>
      </w:pPr>
      <w:r>
        <w:rPr>
          <w:lang w:val="en-US"/>
        </w:rPr>
        <w:t>4</w:t>
      </w:r>
      <w:r w:rsidR="00684C1B">
        <w:rPr>
          <w:lang w:val="en-US"/>
        </w:rPr>
        <w:tab/>
        <w:t>Conclusions</w:t>
      </w:r>
      <w:r w:rsidR="0050536B" w:rsidRPr="008E42FE">
        <w:rPr>
          <w:lang w:val="en-US"/>
        </w:rPr>
        <w:t xml:space="preserve"> </w:t>
      </w:r>
    </w:p>
    <w:p w:rsidR="00932FA9" w:rsidRPr="00932FA9" w:rsidRDefault="0001240F" w:rsidP="0001240F">
      <w:pPr>
        <w:tabs>
          <w:tab w:val="num" w:pos="720"/>
        </w:tabs>
        <w:rPr>
          <w:i/>
        </w:rPr>
      </w:pPr>
      <w:r>
        <w:rPr>
          <w:lang w:val="en-US"/>
        </w:rPr>
        <w:t xml:space="preserve">Following the recent RAN#81 and RAN4#88 agreements we do not see that any further updates are needed in the RAN1 specifications for supporting EN-DC UL Power control. </w:t>
      </w:r>
    </w:p>
    <w:p w:rsidR="005532AF" w:rsidRPr="00835398" w:rsidRDefault="005532AF" w:rsidP="005532AF">
      <w:pPr>
        <w:tabs>
          <w:tab w:val="num" w:pos="720"/>
        </w:tabs>
        <w:rPr>
          <w:b/>
          <w:lang w:val="en-US"/>
        </w:rPr>
      </w:pPr>
      <w:r w:rsidRPr="00835398">
        <w:rPr>
          <w:b/>
          <w:lang w:val="en-US"/>
        </w:rPr>
        <w:t xml:space="preserve">Observation 1: </w:t>
      </w:r>
      <w:r w:rsidRPr="005532AF">
        <w:rPr>
          <w:lang w:val="en-US"/>
        </w:rPr>
        <w:t>No RAN1 specification changes are needed for inter-band EN-DC UL PC.</w:t>
      </w:r>
    </w:p>
    <w:p w:rsidR="005532AF" w:rsidRPr="00835398" w:rsidRDefault="005532AF" w:rsidP="005532AF">
      <w:pPr>
        <w:tabs>
          <w:tab w:val="num" w:pos="720"/>
        </w:tabs>
        <w:rPr>
          <w:b/>
          <w:lang w:val="en-US"/>
        </w:rPr>
      </w:pPr>
      <w:r w:rsidRPr="00835398">
        <w:rPr>
          <w:b/>
          <w:lang w:val="en-US"/>
        </w:rPr>
        <w:t xml:space="preserve">Observation 2: </w:t>
      </w:r>
      <w:r w:rsidRPr="005532AF">
        <w:rPr>
          <w:lang w:val="en-US"/>
        </w:rPr>
        <w:t>No RAN1 specification changes are needed for intra-band EN-DC UL PC unless RAN4 will request further support from RAN1.</w:t>
      </w:r>
    </w:p>
    <w:p w:rsidR="005532AF" w:rsidRDefault="005532AF" w:rsidP="005532AF">
      <w:pPr>
        <w:tabs>
          <w:tab w:val="num" w:pos="720"/>
        </w:tabs>
        <w:rPr>
          <w:b/>
        </w:rPr>
      </w:pPr>
      <w:r>
        <w:rPr>
          <w:b/>
        </w:rPr>
        <w:t xml:space="preserve">Conclusion: </w:t>
      </w:r>
      <w:r w:rsidRPr="005532AF">
        <w:t>No further action is needed in RAN1 for EN-DC uplink power control</w:t>
      </w:r>
    </w:p>
    <w:p w:rsidR="005532AF" w:rsidRDefault="005532AF" w:rsidP="005532AF">
      <w:pPr>
        <w:rPr>
          <w:lang w:val="en-US"/>
        </w:rPr>
      </w:pPr>
      <w:r>
        <w:rPr>
          <w:b/>
        </w:rPr>
        <w:t xml:space="preserve">Proposal 1: </w:t>
      </w:r>
      <w:r>
        <w:rPr>
          <w:lang w:val="x-none" w:eastAsia="ja-JP"/>
        </w:rPr>
        <w:t xml:space="preserve">If the UE </w:t>
      </w:r>
      <w:r>
        <w:rPr>
          <w:lang w:eastAsia="ja-JP"/>
        </w:rPr>
        <w:t xml:space="preserve">is </w:t>
      </w:r>
      <w:r>
        <w:rPr>
          <w:lang w:val="x-none" w:eastAsia="zh-CN"/>
        </w:rPr>
        <w:t>configured</w:t>
      </w:r>
      <w:r>
        <w:rPr>
          <w:lang w:val="x-none"/>
        </w:rPr>
        <w:t xml:space="preserve"> </w:t>
      </w:r>
      <w:r>
        <w:rPr>
          <w:lang w:val="x-none" w:eastAsia="zh-CN"/>
        </w:rPr>
        <w:t xml:space="preserve">with </w:t>
      </w:r>
      <w:r>
        <w:rPr>
          <w:lang w:val="x-none"/>
        </w:rPr>
        <w:t>reference TDD configuration</w:t>
      </w:r>
      <w:r>
        <w:rPr>
          <w:lang w:val="x-none" w:eastAsia="zh-CN"/>
        </w:rPr>
        <w:t xml:space="preserve"> </w:t>
      </w:r>
      <w:r>
        <w:rPr>
          <w:lang w:eastAsia="zh-CN"/>
        </w:rPr>
        <w:t>for EUTRA</w:t>
      </w:r>
      <w:r>
        <w:t>: Extend the behaviour defined in 38.213 subclause 7.6.1 to apply as is also for the case where MCG uses NR and SCG uses LTE.</w:t>
      </w:r>
    </w:p>
    <w:p w:rsidR="005532AF" w:rsidRDefault="005532AF" w:rsidP="005532AF">
      <w:r>
        <w:rPr>
          <w:b/>
        </w:rPr>
        <w:t xml:space="preserve">Proposal 2: </w:t>
      </w:r>
      <w:r>
        <w:rPr>
          <w:lang w:val="x-none" w:eastAsia="ja-JP"/>
        </w:rPr>
        <w:t>If the UE indicate</w:t>
      </w:r>
      <w:r>
        <w:rPr>
          <w:lang w:eastAsia="ja-JP"/>
        </w:rPr>
        <w:t>s</w:t>
      </w:r>
      <w:r>
        <w:rPr>
          <w:lang w:val="x-none" w:eastAsia="ja-JP"/>
        </w:rPr>
        <w:t xml:space="preserve"> a capability for dynamic power sharing</w:t>
      </w:r>
      <w:r>
        <w:rPr>
          <w:lang w:eastAsia="ja-JP"/>
        </w:rPr>
        <w:t xml:space="preserve"> between EUTRA and NR</w:t>
      </w:r>
      <w:r>
        <w:t xml:space="preserve"> and the MCG uses NR and SCG uses LTE: </w:t>
      </w:r>
    </w:p>
    <w:p w:rsidR="005532AF" w:rsidRDefault="005532AF" w:rsidP="005532AF">
      <w:pPr>
        <w:pStyle w:val="ListParagraph"/>
        <w:numPr>
          <w:ilvl w:val="0"/>
          <w:numId w:val="10"/>
        </w:numPr>
        <w:spacing w:after="0" w:line="256" w:lineRule="auto"/>
        <w:rPr>
          <w:lang w:val="en-US"/>
        </w:rPr>
      </w:pPr>
      <w:r>
        <w:rPr>
          <w:lang w:val="en-US"/>
        </w:rPr>
        <w:t>The NR power control behavior follows the same definition as when there was no SCG using LTE configured.</w:t>
      </w:r>
    </w:p>
    <w:p w:rsidR="005532AF" w:rsidRDefault="005532AF" w:rsidP="005532AF">
      <w:pPr>
        <w:pStyle w:val="ListParagraph"/>
        <w:numPr>
          <w:ilvl w:val="0"/>
          <w:numId w:val="10"/>
        </w:numPr>
        <w:spacing w:after="0" w:line="256" w:lineRule="auto"/>
        <w:rPr>
          <w:lang w:val="en-US"/>
        </w:rPr>
      </w:pPr>
      <w:r>
        <w:rPr>
          <w:lang w:val="en-US"/>
        </w:rPr>
        <w:t xml:space="preserve">The LTE power control calculates a new </w:t>
      </w:r>
      <w:r>
        <w:rPr>
          <w:i/>
          <w:lang w:val="en-US"/>
        </w:rPr>
        <w:t>P</w:t>
      </w:r>
      <w:r>
        <w:rPr>
          <w:i/>
          <w:vertAlign w:val="subscript"/>
          <w:lang w:val="en-US"/>
        </w:rPr>
        <w:t>CMAX,c</w:t>
      </w:r>
      <w:r>
        <w:rPr>
          <w:i/>
          <w:lang w:val="en-US"/>
        </w:rPr>
        <w:t>(i)</w:t>
      </w:r>
      <w:r>
        <w:rPr>
          <w:lang w:val="en-US"/>
        </w:rPr>
        <w:t>, taking the power used by the NR transmission into account.</w:t>
      </w:r>
    </w:p>
    <w:p w:rsidR="005532AF" w:rsidRDefault="005532AF" w:rsidP="005532AF">
      <w:pPr>
        <w:pStyle w:val="ListParagraph"/>
        <w:ind w:left="0"/>
        <w:rPr>
          <w:lang w:val="en-US"/>
        </w:rPr>
      </w:pPr>
    </w:p>
    <w:p w:rsidR="005532AF" w:rsidRPr="005532AF" w:rsidRDefault="005532AF" w:rsidP="005532AF">
      <w:pPr>
        <w:rPr>
          <w:sz w:val="22"/>
          <w:szCs w:val="22"/>
          <w:lang w:val="en-US"/>
        </w:rPr>
      </w:pPr>
      <w:r>
        <w:rPr>
          <w:b/>
        </w:rPr>
        <w:t xml:space="preserve">Proposal 3: </w:t>
      </w:r>
      <w:r>
        <w:t>Adopt the text proposals in the Annex A and B to TS38.214 and TS36.213 respectively</w:t>
      </w:r>
    </w:p>
    <w:p w:rsidR="005532AF" w:rsidRDefault="005532AF" w:rsidP="005532AF">
      <w:pPr>
        <w:rPr>
          <w:sz w:val="22"/>
          <w:szCs w:val="22"/>
          <w:lang w:val="en-US"/>
        </w:rPr>
      </w:pPr>
      <w:r>
        <w:rPr>
          <w:b/>
        </w:rPr>
        <w:t xml:space="preserve">Proposal 4: </w:t>
      </w:r>
      <w:r>
        <w:rPr>
          <w:lang w:val="x-none" w:eastAsia="ja-JP"/>
        </w:rPr>
        <w:t xml:space="preserve">Send an LS to RAN4 requesting for the new </w:t>
      </w:r>
      <w:r>
        <w:rPr>
          <w:i/>
        </w:rPr>
        <w:t>P</w:t>
      </w:r>
      <w:r>
        <w:rPr>
          <w:i/>
          <w:vertAlign w:val="subscript"/>
        </w:rPr>
        <w:t>CMAX,c</w:t>
      </w:r>
      <w:r>
        <w:rPr>
          <w:i/>
        </w:rPr>
        <w:t>(i)</w:t>
      </w:r>
      <w:r>
        <w:t xml:space="preserve"> calculation for the case where MCG uses NR and SCG uses LTE.</w:t>
      </w:r>
    </w:p>
    <w:p w:rsidR="005532AF" w:rsidRDefault="005532AF" w:rsidP="005532AF">
      <w:pPr>
        <w:pStyle w:val="ListParagraph"/>
        <w:ind w:left="0"/>
        <w:rPr>
          <w:lang w:val="en-US"/>
        </w:rPr>
      </w:pPr>
    </w:p>
    <w:p w:rsidR="005532AF" w:rsidRPr="005532AF" w:rsidRDefault="005532AF" w:rsidP="005532AF">
      <w:pPr>
        <w:tabs>
          <w:tab w:val="num" w:pos="720"/>
        </w:tabs>
        <w:rPr>
          <w:lang w:val="en-US"/>
        </w:rPr>
      </w:pPr>
    </w:p>
    <w:p w:rsidR="00307817" w:rsidRDefault="00B6436F" w:rsidP="00533E15">
      <w:pPr>
        <w:pStyle w:val="Heading1"/>
        <w:rPr>
          <w:lang w:val="en-US"/>
        </w:rPr>
      </w:pPr>
      <w:r>
        <w:rPr>
          <w:lang w:val="en-US"/>
        </w:rPr>
        <w:lastRenderedPageBreak/>
        <w:t>5</w:t>
      </w:r>
      <w:r w:rsidR="00307817">
        <w:rPr>
          <w:lang w:val="en-US"/>
        </w:rPr>
        <w:tab/>
        <w:t>References</w:t>
      </w:r>
    </w:p>
    <w:p w:rsidR="009451C8" w:rsidRDefault="009451C8" w:rsidP="0076250A">
      <w:pPr>
        <w:numPr>
          <w:ilvl w:val="0"/>
          <w:numId w:val="7"/>
        </w:numPr>
      </w:pPr>
      <w:r>
        <w:t xml:space="preserve">RP-182034, </w:t>
      </w:r>
      <w:r w:rsidRPr="009451C8">
        <w:t>Way forward on inte</w:t>
      </w:r>
      <w:r>
        <w:t xml:space="preserve">r-band EN-DC power control, </w:t>
      </w:r>
      <w:r w:rsidRPr="009451C8">
        <w:t>Nokia, Nokia Shanghai Bell, Samsung, Qualcomm, Intel, ZTE, Ericsson, Sprint, T-Mobile US,  LG Electronics, Dish, SK Telecom, Verizon, AT&amp;T, CATT, China Unicom, FirstNet, CHTTL, Panasonic</w:t>
      </w:r>
    </w:p>
    <w:p w:rsidR="00940BB8" w:rsidRPr="00940BB8" w:rsidRDefault="00940BB8" w:rsidP="0076250A">
      <w:pPr>
        <w:numPr>
          <w:ilvl w:val="0"/>
          <w:numId w:val="7"/>
        </w:numPr>
      </w:pPr>
      <w:r w:rsidRPr="00940BB8">
        <w:t>RP-182167</w:t>
      </w:r>
      <w:r>
        <w:t xml:space="preserve">, </w:t>
      </w:r>
      <w:r w:rsidRPr="00940BB8">
        <w:t>LS inter-band EN-DC power contro</w:t>
      </w:r>
      <w:r>
        <w:t>l (to: RAN4; cc: RAN2), R</w:t>
      </w:r>
      <w:r w:rsidRPr="00940BB8">
        <w:t>AN</w:t>
      </w:r>
    </w:p>
    <w:p w:rsidR="00CE3618" w:rsidRDefault="00CE3618" w:rsidP="0076250A">
      <w:pPr>
        <w:numPr>
          <w:ilvl w:val="0"/>
          <w:numId w:val="7"/>
        </w:numPr>
      </w:pPr>
      <w:r w:rsidRPr="00CE3618">
        <w:t>R4-1811797</w:t>
      </w:r>
      <w:r>
        <w:t xml:space="preserve">, </w:t>
      </w:r>
      <w:r w:rsidRPr="00CE3618">
        <w:t>WF on Intra-band EN-DC options for Pcmax</w:t>
      </w:r>
      <w:r>
        <w:t>,</w:t>
      </w:r>
      <w:r w:rsidRPr="00CE3618">
        <w:t xml:space="preserve"> MediaTek</w:t>
      </w:r>
    </w:p>
    <w:p w:rsidR="004E61E2" w:rsidRDefault="004E61E2" w:rsidP="0076250A">
      <w:pPr>
        <w:numPr>
          <w:ilvl w:val="0"/>
          <w:numId w:val="7"/>
        </w:numPr>
      </w:pPr>
      <w:r>
        <w:t xml:space="preserve">R4-1812060, </w:t>
      </w:r>
      <w:r w:rsidRPr="004E61E2">
        <w:t>CR to 38.101-3: Pcmax for inter-band EN-DC</w:t>
      </w:r>
      <w:r>
        <w:t>, Nokia, Nokia Shanghai Bell</w:t>
      </w:r>
    </w:p>
    <w:p w:rsidR="00CE460A" w:rsidRPr="00CE460A" w:rsidRDefault="00CE460A" w:rsidP="00CE460A">
      <w:pPr>
        <w:numPr>
          <w:ilvl w:val="0"/>
          <w:numId w:val="7"/>
        </w:numPr>
        <w:spacing w:after="120" w:line="256" w:lineRule="auto"/>
        <w:jc w:val="both"/>
        <w:rPr>
          <w:lang w:val="en-US"/>
        </w:rPr>
      </w:pPr>
      <w:bookmarkStart w:id="1" w:name="_Ref510791645"/>
      <w:r>
        <w:t xml:space="preserve">RP-180554 “Plan for finalizing all NR architecture options”, TSG-RAN Chair, RAN WG3 </w:t>
      </w:r>
      <w:r>
        <w:rPr>
          <w:lang w:val="fr-FR"/>
        </w:rPr>
        <w:t>Chair, RAN WG2 Chair, RAN WG1 Chair, RAN WG4 Chair</w:t>
      </w:r>
      <w:bookmarkEnd w:id="1"/>
    </w:p>
    <w:p w:rsidR="0076250A" w:rsidRDefault="0076250A" w:rsidP="0076250A">
      <w:pPr>
        <w:numPr>
          <w:ilvl w:val="0"/>
          <w:numId w:val="7"/>
        </w:numPr>
      </w:pPr>
      <w:r>
        <w:t xml:space="preserve">R1-1805143, </w:t>
      </w:r>
      <w:r w:rsidRPr="0076250A">
        <w:t>P</w:t>
      </w:r>
      <w:r>
        <w:t xml:space="preserve">ower control for EN-DC option 4, </w:t>
      </w:r>
      <w:r w:rsidRPr="0076250A">
        <w:t>Nokia, Nokia Shanghai Bell</w:t>
      </w:r>
    </w:p>
    <w:p w:rsidR="0076250A" w:rsidRDefault="0076250A" w:rsidP="0076250A">
      <w:pPr>
        <w:numPr>
          <w:ilvl w:val="0"/>
          <w:numId w:val="7"/>
        </w:numPr>
      </w:pPr>
      <w:r>
        <w:t xml:space="preserve">R1-1807264, </w:t>
      </w:r>
      <w:r w:rsidRPr="0076250A">
        <w:t>On remainin</w:t>
      </w:r>
      <w:r>
        <w:t xml:space="preserve">g issues of NR-LTE co-existence, </w:t>
      </w:r>
      <w:r w:rsidRPr="0076250A">
        <w:t>Ericsson</w:t>
      </w:r>
    </w:p>
    <w:p w:rsidR="00331A7C" w:rsidRDefault="0076250A" w:rsidP="0076250A">
      <w:pPr>
        <w:numPr>
          <w:ilvl w:val="0"/>
          <w:numId w:val="7"/>
        </w:numPr>
      </w:pPr>
      <w:r>
        <w:t xml:space="preserve">R1-1809075, </w:t>
      </w:r>
      <w:r w:rsidRPr="0076250A">
        <w:t>Power control for Option 4 DC</w:t>
      </w:r>
      <w:r>
        <w:t xml:space="preserve">, </w:t>
      </w:r>
      <w:r w:rsidRPr="0076250A">
        <w:t>AT&amp;T</w:t>
      </w:r>
    </w:p>
    <w:p w:rsidR="0076250A" w:rsidRDefault="0076250A" w:rsidP="0076250A">
      <w:pPr>
        <w:numPr>
          <w:ilvl w:val="0"/>
          <w:numId w:val="7"/>
        </w:numPr>
      </w:pPr>
      <w:r>
        <w:t xml:space="preserve">R1-1808930, </w:t>
      </w:r>
      <w:r w:rsidRPr="0076250A">
        <w:t xml:space="preserve">Remaining </w:t>
      </w:r>
      <w:r>
        <w:t xml:space="preserve">issues on EN-DC, NE-DC, and SUL, </w:t>
      </w:r>
      <w:r w:rsidRPr="0076250A">
        <w:t>Huawei, HiSilicon</w:t>
      </w:r>
    </w:p>
    <w:p w:rsidR="005D7FA2" w:rsidRDefault="0076250A" w:rsidP="005D7FA2">
      <w:pPr>
        <w:numPr>
          <w:ilvl w:val="0"/>
          <w:numId w:val="7"/>
        </w:numPr>
      </w:pPr>
      <w:r>
        <w:t xml:space="preserve">R1-1809432, Maintenace for NR power control, </w:t>
      </w:r>
      <w:r w:rsidRPr="0076250A">
        <w:t>Qualcomm Incorporated</w:t>
      </w:r>
    </w:p>
    <w:p w:rsidR="004E61E2" w:rsidRDefault="004E61E2" w:rsidP="004E61E2">
      <w:pPr>
        <w:ind w:left="360"/>
      </w:pPr>
    </w:p>
    <w:p w:rsidR="005D7FA2" w:rsidRDefault="005D7FA2" w:rsidP="005D7FA2">
      <w:r>
        <w:br w:type="page"/>
      </w:r>
    </w:p>
    <w:p w:rsidR="005D7FA2" w:rsidRDefault="005D7FA2" w:rsidP="005D7FA2">
      <w:pPr>
        <w:pStyle w:val="Heading1"/>
        <w:rPr>
          <w:lang w:val="en-US"/>
        </w:rPr>
      </w:pPr>
      <w:r>
        <w:rPr>
          <w:lang w:val="en-US"/>
        </w:rPr>
        <w:t>Annex A: TP to 38.214</w:t>
      </w:r>
      <w:bookmarkStart w:id="2" w:name="_Toc525657926"/>
    </w:p>
    <w:p w:rsidR="0026637D" w:rsidRPr="005D7FA2" w:rsidRDefault="0026637D" w:rsidP="005D7FA2">
      <w:pPr>
        <w:pStyle w:val="Heading1"/>
        <w:rPr>
          <w:lang w:val="en-US"/>
        </w:rPr>
      </w:pPr>
      <w:r w:rsidRPr="0026637D">
        <w:t>7.6</w:t>
      </w:r>
      <w:r w:rsidRPr="0026637D">
        <w:tab/>
        <w:t>Dual connectivity</w:t>
      </w:r>
      <w:bookmarkEnd w:id="2"/>
    </w:p>
    <w:p w:rsidR="009E55A4" w:rsidRPr="009E55A4" w:rsidRDefault="009E55A4" w:rsidP="009E55A4">
      <w:pPr>
        <w:rPr>
          <w:color w:val="FF0000"/>
          <w:u w:val="single"/>
          <w:lang w:eastAsia="ja-JP"/>
        </w:rPr>
      </w:pPr>
      <w:r w:rsidRPr="0026637D">
        <w:rPr>
          <w:color w:val="FF0000"/>
          <w:u w:val="single"/>
          <w:lang w:eastAsia="ja-JP"/>
        </w:rPr>
        <w:t xml:space="preserve">A UE </w:t>
      </w:r>
      <w:r w:rsidRPr="0026637D">
        <w:rPr>
          <w:color w:val="FF0000"/>
          <w:u w:val="single"/>
          <w:lang w:eastAsia="x-none"/>
        </w:rPr>
        <w:t xml:space="preserve">does not expect to be configured </w:t>
      </w:r>
      <w:r w:rsidRPr="0026637D">
        <w:rPr>
          <w:color w:val="FF0000"/>
          <w:u w:val="single"/>
        </w:rPr>
        <w:t xml:space="preserve">for operation with shortened TTI and/or processing time [13, TS 36.213] </w:t>
      </w:r>
      <w:r w:rsidRPr="0026637D">
        <w:rPr>
          <w:color w:val="FF0000"/>
          <w:u w:val="single"/>
          <w:lang w:eastAsia="x-none"/>
        </w:rPr>
        <w:t>on</w:t>
      </w:r>
      <w:r>
        <w:rPr>
          <w:color w:val="FF0000"/>
          <w:u w:val="single"/>
          <w:lang w:eastAsia="x-none"/>
        </w:rPr>
        <w:t xml:space="preserve"> a cell that is included in an EN-DC or </w:t>
      </w:r>
      <w:r w:rsidRPr="0026637D">
        <w:rPr>
          <w:color w:val="FF0000"/>
          <w:u w:val="single"/>
          <w:lang w:eastAsia="x-none"/>
        </w:rPr>
        <w:t>N</w:t>
      </w:r>
      <w:r>
        <w:rPr>
          <w:color w:val="FF0000"/>
          <w:u w:val="single"/>
          <w:lang w:eastAsia="x-none"/>
        </w:rPr>
        <w:t>E</w:t>
      </w:r>
      <w:r w:rsidRPr="0026637D">
        <w:rPr>
          <w:color w:val="FF0000"/>
          <w:u w:val="single"/>
          <w:lang w:eastAsia="x-none"/>
        </w:rPr>
        <w:t>-DC configuration.</w:t>
      </w:r>
    </w:p>
    <w:p w:rsidR="0026637D" w:rsidRPr="0026637D" w:rsidRDefault="0026637D" w:rsidP="0026637D">
      <w:pPr>
        <w:keepNext/>
        <w:keepLines/>
        <w:spacing w:before="120"/>
        <w:ind w:left="1134" w:hanging="1134"/>
        <w:outlineLvl w:val="2"/>
        <w:rPr>
          <w:rFonts w:ascii="Arial" w:hAnsi="Arial"/>
          <w:sz w:val="28"/>
        </w:rPr>
      </w:pPr>
      <w:bookmarkStart w:id="3" w:name="_Toc525657927"/>
      <w:r w:rsidRPr="0026637D">
        <w:rPr>
          <w:rFonts w:ascii="Arial" w:hAnsi="Arial"/>
          <w:sz w:val="28"/>
        </w:rPr>
        <w:t>7.6.1</w:t>
      </w:r>
      <w:r w:rsidRPr="0026637D">
        <w:rPr>
          <w:rFonts w:ascii="Arial" w:hAnsi="Arial"/>
          <w:sz w:val="28"/>
        </w:rPr>
        <w:tab/>
        <w:t>EN-DC</w:t>
      </w:r>
      <w:bookmarkEnd w:id="3"/>
    </w:p>
    <w:p w:rsidR="0026637D" w:rsidRPr="0026637D" w:rsidRDefault="0026637D" w:rsidP="0026637D">
      <w:pPr>
        <w:rPr>
          <w:lang w:eastAsia="ja-JP"/>
        </w:rPr>
      </w:pPr>
      <w:r w:rsidRPr="0026637D">
        <w:t xml:space="preserve">If a UE is configured with a MCG using E-UTRA radio access and with a SCG using </w:t>
      </w:r>
      <w:r w:rsidRPr="0026637D">
        <w:rPr>
          <w:lang w:eastAsia="ja-JP"/>
        </w:rPr>
        <w:t xml:space="preserve">NR radio access, the UE is configured a maximum power </w:t>
      </w:r>
      <w:r w:rsidRPr="0026637D">
        <w:rPr>
          <w:position w:val="-10"/>
        </w:rPr>
        <w:object w:dxaOrig="405" w:dyaOrig="300">
          <v:shape id="_x0000_i1028" type="#_x0000_t75" style="width:20.5pt;height:15pt" o:ole="">
            <v:imagedata r:id="rId15" o:title=""/>
          </v:shape>
          <o:OLEObject Type="Embed" ProgID="Equation.3" ShapeID="_x0000_i1028" DrawAspect="Content" ObjectID="_1599657294" r:id="rId16"/>
        </w:object>
      </w:r>
      <w:r w:rsidRPr="0026637D">
        <w:rPr>
          <w:lang w:eastAsia="ja-JP"/>
        </w:rPr>
        <w:t xml:space="preserve"> for transmissions on the MCG by higher layer parameter </w:t>
      </w:r>
      <w:r w:rsidRPr="0026637D">
        <w:rPr>
          <w:i/>
          <w:lang w:eastAsia="ja-JP"/>
        </w:rPr>
        <w:t>p-MaxEUTRA</w:t>
      </w:r>
      <w:r w:rsidRPr="0026637D">
        <w:rPr>
          <w:lang w:eastAsia="ja-JP"/>
        </w:rPr>
        <w:t xml:space="preserve"> and a maximum power </w:t>
      </w:r>
      <w:r w:rsidRPr="0026637D">
        <w:rPr>
          <w:position w:val="-10"/>
        </w:rPr>
        <w:object w:dxaOrig="375" w:dyaOrig="300">
          <v:shape id="_x0000_i1029" type="#_x0000_t75" style="width:19pt;height:15pt" o:ole="">
            <v:imagedata r:id="rId17" o:title=""/>
          </v:shape>
          <o:OLEObject Type="Embed" ProgID="Equation.3" ShapeID="_x0000_i1029" DrawAspect="Content" ObjectID="_1599657295" r:id="rId18"/>
        </w:object>
      </w:r>
      <w:r w:rsidRPr="0026637D">
        <w:t xml:space="preserve"> </w:t>
      </w:r>
      <w:r w:rsidRPr="0026637D">
        <w:rPr>
          <w:lang w:eastAsia="ja-JP"/>
        </w:rPr>
        <w:t xml:space="preserve">for transmissions in frequency range 1 on the SCG by higher layer parameter </w:t>
      </w:r>
      <w:r w:rsidRPr="0026637D">
        <w:rPr>
          <w:i/>
          <w:lang w:eastAsia="ja-JP"/>
        </w:rPr>
        <w:t>p-NR</w:t>
      </w:r>
      <w:r w:rsidRPr="0026637D">
        <w:rPr>
          <w:lang w:eastAsia="ja-JP"/>
        </w:rPr>
        <w:t xml:space="preserve">. </w:t>
      </w:r>
      <w:r w:rsidRPr="0026637D">
        <w:rPr>
          <w:lang w:val="en-US" w:eastAsia="zh-CN"/>
        </w:rPr>
        <w:t>T</w:t>
      </w:r>
      <w:r w:rsidRPr="0026637D">
        <w:t xml:space="preserve">he UE determines a transmission power for the MCG as described in [13, TS 36.213] </w:t>
      </w:r>
      <w:r w:rsidRPr="0026637D">
        <w:rPr>
          <w:lang w:val="en-US"/>
        </w:rPr>
        <w:t xml:space="preserve">using </w:t>
      </w:r>
      <w:r w:rsidRPr="0026637D">
        <w:rPr>
          <w:position w:val="-10"/>
        </w:rPr>
        <w:object w:dxaOrig="405" w:dyaOrig="300">
          <v:shape id="_x0000_i1030" type="#_x0000_t75" style="width:20.5pt;height:15pt" o:ole="">
            <v:imagedata r:id="rId19" o:title=""/>
          </v:shape>
          <o:OLEObject Type="Embed" ProgID="Equation.3" ShapeID="_x0000_i1030" DrawAspect="Content" ObjectID="_1599657296" r:id="rId20"/>
        </w:object>
      </w:r>
      <w:r w:rsidRPr="0026637D">
        <w:rPr>
          <w:lang w:val="en-US"/>
        </w:rPr>
        <w:t xml:space="preserve"> as the maximum transmission power. The UE determines</w:t>
      </w:r>
      <w:r w:rsidRPr="0026637D">
        <w:t xml:space="preserve"> transmission power for the SCG </w:t>
      </w:r>
      <w:r w:rsidRPr="0026637D">
        <w:rPr>
          <w:lang w:eastAsia="ja-JP"/>
        </w:rPr>
        <w:t>in frequency range 1</w:t>
      </w:r>
      <w:r w:rsidRPr="0026637D">
        <w:t xml:space="preserve"> as described Subclauses 7.1 through 7.5</w:t>
      </w:r>
      <w:r w:rsidRPr="0026637D">
        <w:rPr>
          <w:lang w:val="en-US"/>
        </w:rPr>
        <w:t xml:space="preserve"> using </w:t>
      </w:r>
      <w:r w:rsidRPr="0026637D">
        <w:rPr>
          <w:position w:val="-10"/>
        </w:rPr>
        <w:object w:dxaOrig="375" w:dyaOrig="300">
          <v:shape id="_x0000_i1031" type="#_x0000_t75" style="width:19pt;height:15pt" o:ole="">
            <v:imagedata r:id="rId21" o:title=""/>
          </v:shape>
          <o:OLEObject Type="Embed" ProgID="Equation.3" ShapeID="_x0000_i1031" DrawAspect="Content" ObjectID="_1599657297" r:id="rId22"/>
        </w:object>
      </w:r>
      <w:r w:rsidRPr="0026637D">
        <w:rPr>
          <w:lang w:val="en-US"/>
        </w:rPr>
        <w:t xml:space="preserve"> as the maximum transmission power</w:t>
      </w:r>
      <w:r w:rsidRPr="0026637D">
        <w:t xml:space="preserve"> for </w:t>
      </w:r>
      <w:r w:rsidRPr="0026637D">
        <w:rPr>
          <w:position w:val="-10"/>
        </w:rPr>
        <w:object w:dxaOrig="1050" w:dyaOrig="300">
          <v:shape id="_x0000_i1032" type="#_x0000_t75" style="width:52.5pt;height:15pt" o:ole="">
            <v:imagedata r:id="rId23" o:title=""/>
          </v:shape>
          <o:OLEObject Type="Embed" ProgID="Equation.3" ShapeID="_x0000_i1032" DrawAspect="Content" ObjectID="_1599657298" r:id="rId24"/>
        </w:object>
      </w:r>
      <w:r w:rsidRPr="0026637D">
        <w:rPr>
          <w:lang w:val="en-US"/>
        </w:rPr>
        <w:t>. The UE determines</w:t>
      </w:r>
      <w:r w:rsidRPr="0026637D">
        <w:t xml:space="preserve"> transmission power for the SCG in frequency range 2 as described Subclauses 7.1 through 7.5</w:t>
      </w:r>
    </w:p>
    <w:p w:rsidR="0026637D" w:rsidRPr="0026637D" w:rsidRDefault="0026637D" w:rsidP="0026637D">
      <w:pPr>
        <w:rPr>
          <w:strike/>
          <w:color w:val="FF0000"/>
          <w:lang w:eastAsia="ja-JP"/>
        </w:rPr>
      </w:pPr>
      <w:r w:rsidRPr="0026637D">
        <w:rPr>
          <w:strike/>
          <w:color w:val="FF0000"/>
          <w:lang w:eastAsia="ja-JP"/>
        </w:rPr>
        <w:t xml:space="preserve">A UE </w:t>
      </w:r>
      <w:r w:rsidRPr="0026637D">
        <w:rPr>
          <w:strike/>
          <w:color w:val="FF0000"/>
          <w:lang w:eastAsia="x-none"/>
        </w:rPr>
        <w:t xml:space="preserve">does not expect to be configured </w:t>
      </w:r>
      <w:r w:rsidRPr="0026637D">
        <w:rPr>
          <w:strike/>
          <w:color w:val="FF0000"/>
        </w:rPr>
        <w:t xml:space="preserve">for operation with shortened TTI and/or processing time [13, TS 36.213] </w:t>
      </w:r>
      <w:r w:rsidRPr="0026637D">
        <w:rPr>
          <w:strike/>
          <w:color w:val="FF0000"/>
          <w:lang w:eastAsia="x-none"/>
        </w:rPr>
        <w:t>on a cell that is included in an EN-DC configuration.</w:t>
      </w:r>
    </w:p>
    <w:p w:rsidR="0026637D" w:rsidRPr="0026637D" w:rsidRDefault="0026637D" w:rsidP="0026637D">
      <w:pPr>
        <w:rPr>
          <w:lang w:eastAsia="ja-JP"/>
        </w:rPr>
      </w:pPr>
      <w:r w:rsidRPr="0026637D">
        <w:rPr>
          <w:lang w:eastAsia="ja-JP"/>
        </w:rPr>
        <w:t xml:space="preserve">If a UE is configured with </w:t>
      </w:r>
      <w:r w:rsidRPr="0026637D">
        <w:rPr>
          <w:position w:val="-10"/>
        </w:rPr>
        <w:object w:dxaOrig="1620" w:dyaOrig="330">
          <v:shape id="_x0000_i1033" type="#_x0000_t75" style="width:81pt;height:16.5pt" o:ole="">
            <v:imagedata r:id="rId25" o:title=""/>
          </v:shape>
          <o:OLEObject Type="Embed" ProgID="Equation.3" ShapeID="_x0000_i1033" DrawAspect="Content" ObjectID="_1599657299" r:id="rId26"/>
        </w:object>
      </w:r>
      <w:r w:rsidRPr="0026637D">
        <w:t xml:space="preserve">, where </w:t>
      </w:r>
      <w:r w:rsidRPr="0026637D">
        <w:rPr>
          <w:position w:val="-10"/>
        </w:rPr>
        <w:object w:dxaOrig="405" w:dyaOrig="330">
          <v:shape id="_x0000_i1034" type="#_x0000_t75" style="width:20.5pt;height:16.5pt" o:ole="">
            <v:imagedata r:id="rId27" o:title=""/>
          </v:shape>
          <o:OLEObject Type="Embed" ProgID="Equation.3" ShapeID="_x0000_i1034" DrawAspect="Content" ObjectID="_1599657300" r:id="rId28"/>
        </w:object>
      </w:r>
      <w:r w:rsidRPr="0026637D">
        <w:rPr>
          <w:lang w:eastAsia="zh-CN"/>
        </w:rPr>
        <w:t xml:space="preserve"> is the linear value</w:t>
      </w:r>
      <w:r w:rsidRPr="0026637D">
        <w:rPr>
          <w:lang w:eastAsia="ja-JP"/>
        </w:rPr>
        <w:t xml:space="preserve"> of </w:t>
      </w:r>
      <w:r w:rsidRPr="0026637D">
        <w:rPr>
          <w:position w:val="-10"/>
        </w:rPr>
        <w:object w:dxaOrig="405" w:dyaOrig="300">
          <v:shape id="_x0000_i1035" type="#_x0000_t75" style="width:20.5pt;height:15pt" o:ole="">
            <v:imagedata r:id="rId15" o:title=""/>
          </v:shape>
          <o:OLEObject Type="Embed" ProgID="Equation.3" ShapeID="_x0000_i1035" DrawAspect="Content" ObjectID="_1599657301" r:id="rId29"/>
        </w:object>
      </w:r>
      <w:r w:rsidRPr="0026637D">
        <w:t xml:space="preserve">, </w:t>
      </w:r>
      <w:r w:rsidRPr="0026637D">
        <w:rPr>
          <w:position w:val="-10"/>
        </w:rPr>
        <w:object w:dxaOrig="375" w:dyaOrig="330">
          <v:shape id="_x0000_i1036" type="#_x0000_t75" style="width:19pt;height:16.5pt" o:ole="">
            <v:imagedata r:id="rId30" o:title=""/>
          </v:shape>
          <o:OLEObject Type="Embed" ProgID="Equation.3" ShapeID="_x0000_i1036" DrawAspect="Content" ObjectID="_1599657302" r:id="rId31"/>
        </w:object>
      </w:r>
      <w:r w:rsidRPr="0026637D">
        <w:rPr>
          <w:lang w:eastAsia="zh-CN"/>
        </w:rPr>
        <w:t xml:space="preserve"> is the linear value</w:t>
      </w:r>
      <w:r w:rsidRPr="0026637D">
        <w:rPr>
          <w:lang w:eastAsia="ja-JP"/>
        </w:rPr>
        <w:t xml:space="preserve"> of </w:t>
      </w:r>
      <w:r w:rsidRPr="0026637D">
        <w:rPr>
          <w:position w:val="-10"/>
        </w:rPr>
        <w:object w:dxaOrig="375" w:dyaOrig="300">
          <v:shape id="_x0000_i1037" type="#_x0000_t75" style="width:19pt;height:15pt" o:ole="">
            <v:imagedata r:id="rId17" o:title=""/>
          </v:shape>
          <o:OLEObject Type="Embed" ProgID="Equation.3" ShapeID="_x0000_i1037" DrawAspect="Content" ObjectID="_1599657303" r:id="rId32"/>
        </w:object>
      </w:r>
      <w:r w:rsidRPr="0026637D">
        <w:t>, and</w:t>
      </w:r>
      <w:r w:rsidRPr="0026637D">
        <w:rPr>
          <w:lang w:eastAsia="zh-CN"/>
        </w:rPr>
        <w:t xml:space="preserve"> </w:t>
      </w:r>
      <w:r w:rsidRPr="0026637D">
        <w:rPr>
          <w:position w:val="-10"/>
        </w:rPr>
        <w:object w:dxaOrig="615" w:dyaOrig="330">
          <v:shape id="_x0000_i1038" type="#_x0000_t75" style="width:31pt;height:16.5pt" o:ole="">
            <v:imagedata r:id="rId33" o:title=""/>
          </v:shape>
          <o:OLEObject Type="Embed" ProgID="Equation.3" ShapeID="_x0000_i1038" DrawAspect="Content" ObjectID="_1599657304" r:id="rId34"/>
        </w:object>
      </w:r>
      <w:r w:rsidRPr="0026637D">
        <w:t xml:space="preserve"> </w:t>
      </w:r>
      <w:r w:rsidRPr="0026637D">
        <w:rPr>
          <w:lang w:eastAsia="zh-CN"/>
        </w:rPr>
        <w:t xml:space="preserve">is the linear value of </w:t>
      </w:r>
      <w:r w:rsidRPr="0026637D">
        <w:rPr>
          <w:lang w:val="en-US" w:eastAsia="zh-CN"/>
        </w:rPr>
        <w:t>a</w:t>
      </w:r>
      <w:r w:rsidRPr="0026637D">
        <w:rPr>
          <w:lang w:eastAsia="zh-CN"/>
        </w:rPr>
        <w:t xml:space="preserve"> </w:t>
      </w:r>
      <w:r w:rsidRPr="0026637D">
        <w:t xml:space="preserve">configured </w:t>
      </w:r>
      <w:r w:rsidRPr="0026637D">
        <w:rPr>
          <w:lang w:eastAsia="zh-CN"/>
        </w:rPr>
        <w:t xml:space="preserve">maximum </w:t>
      </w:r>
      <w:r w:rsidRPr="0026637D">
        <w:rPr>
          <w:lang w:val="en-US" w:eastAsia="zh-CN"/>
        </w:rPr>
        <w:t>transmission</w:t>
      </w:r>
      <w:r w:rsidRPr="0026637D">
        <w:t xml:space="preserve"> power </w:t>
      </w:r>
      <w:r w:rsidRPr="0026637D">
        <w:rPr>
          <w:lang w:val="en-US"/>
        </w:rPr>
        <w:t xml:space="preserve">for EN-DC operation </w:t>
      </w:r>
      <w:r w:rsidRPr="0026637D">
        <w:t xml:space="preserve">as </w:t>
      </w:r>
      <w:r w:rsidRPr="0026637D">
        <w:rPr>
          <w:iCs/>
        </w:rPr>
        <w:t xml:space="preserve">defined in </w:t>
      </w:r>
      <w:r w:rsidRPr="0026637D">
        <w:t xml:space="preserve">[8-3, TS 38.101-3] for frequency range 1, </w:t>
      </w:r>
      <w:r w:rsidRPr="0026637D">
        <w:rPr>
          <w:lang w:eastAsia="ja-JP"/>
        </w:rPr>
        <w:t>the UE determines a transmission power on the SCG as follows.</w:t>
      </w:r>
    </w:p>
    <w:p w:rsidR="0026637D" w:rsidRPr="0026637D" w:rsidRDefault="0026637D" w:rsidP="0026637D">
      <w:pPr>
        <w:ind w:left="568" w:hanging="284"/>
        <w:rPr>
          <w:rFonts w:eastAsia="MS Mincho"/>
          <w:lang w:val="en-US"/>
        </w:rPr>
      </w:pPr>
      <w:r w:rsidRPr="0026637D">
        <w:rPr>
          <w:rFonts w:eastAsia="MS Mincho"/>
          <w:lang w:val="x-none" w:eastAsia="ja-JP"/>
        </w:rPr>
        <w:t>-</w:t>
      </w:r>
      <w:r w:rsidRPr="0026637D">
        <w:rPr>
          <w:rFonts w:eastAsia="MS Mincho"/>
          <w:lang w:val="x-none" w:eastAsia="ja-JP"/>
        </w:rPr>
        <w:tab/>
        <w:t xml:space="preserve">If the UE </w:t>
      </w:r>
      <w:r w:rsidRPr="0026637D">
        <w:rPr>
          <w:rFonts w:eastAsia="MS Mincho"/>
          <w:lang w:val="en-US" w:eastAsia="ja-JP"/>
        </w:rPr>
        <w:t xml:space="preserve">is </w:t>
      </w:r>
      <w:r w:rsidRPr="0026637D">
        <w:rPr>
          <w:rFonts w:eastAsia="MS Mincho"/>
          <w:lang w:val="x-none" w:eastAsia="zh-CN"/>
        </w:rPr>
        <w:t>configured</w:t>
      </w:r>
      <w:r w:rsidRPr="0026637D">
        <w:rPr>
          <w:rFonts w:eastAsia="MS Mincho"/>
          <w:lang w:val="x-none"/>
        </w:rPr>
        <w:t xml:space="preserve"> </w:t>
      </w:r>
      <w:r w:rsidRPr="0026637D">
        <w:rPr>
          <w:rFonts w:eastAsia="MS Mincho"/>
          <w:lang w:val="x-none" w:eastAsia="zh-CN"/>
        </w:rPr>
        <w:t xml:space="preserve">with </w:t>
      </w:r>
      <w:r w:rsidRPr="0026637D">
        <w:rPr>
          <w:rFonts w:eastAsia="MS Mincho"/>
          <w:lang w:val="x-none"/>
        </w:rPr>
        <w:t>reference TDD configuration</w:t>
      </w:r>
      <w:r w:rsidRPr="0026637D">
        <w:rPr>
          <w:rFonts w:eastAsia="MS Mincho"/>
          <w:lang w:val="x-none" w:eastAsia="zh-CN"/>
        </w:rPr>
        <w:t xml:space="preserve"> </w:t>
      </w:r>
      <w:r w:rsidRPr="0026637D">
        <w:rPr>
          <w:rFonts w:eastAsia="MS Mincho"/>
          <w:lang w:val="en-US" w:eastAsia="zh-CN"/>
        </w:rPr>
        <w:t xml:space="preserve">for E-UTRA (by higher layer parameter </w:t>
      </w:r>
      <w:r w:rsidRPr="0026637D">
        <w:rPr>
          <w:rFonts w:eastAsia="MS Mincho"/>
          <w:i/>
          <w:iCs/>
          <w:lang w:val="x-none" w:eastAsia="zh-CN"/>
        </w:rPr>
        <w:t>tdm-PatternConfig-r15</w:t>
      </w:r>
      <w:r w:rsidRPr="0026637D">
        <w:rPr>
          <w:rFonts w:eastAsia="MS Mincho"/>
          <w:lang w:val="en-US" w:eastAsia="zh-CN"/>
        </w:rPr>
        <w:t xml:space="preserve"> in </w:t>
      </w:r>
      <w:r w:rsidRPr="0026637D">
        <w:rPr>
          <w:rFonts w:eastAsia="MS Mincho"/>
          <w:lang w:val="x-none" w:eastAsia="zh-CN"/>
        </w:rPr>
        <w:t>[13, TS 36.213]</w:t>
      </w:r>
      <w:r w:rsidRPr="0026637D">
        <w:rPr>
          <w:rFonts w:eastAsia="MS Mincho"/>
          <w:lang w:val="en-US" w:eastAsia="zh-CN"/>
        </w:rPr>
        <w:t>)</w:t>
      </w:r>
    </w:p>
    <w:p w:rsidR="0026637D" w:rsidRPr="0026637D" w:rsidRDefault="0026637D" w:rsidP="0026637D">
      <w:pPr>
        <w:ind w:left="851" w:hanging="284"/>
        <w:rPr>
          <w:rFonts w:eastAsia="MS Mincho"/>
          <w:lang w:val="en-US"/>
        </w:rPr>
      </w:pPr>
      <w:r w:rsidRPr="0026637D">
        <w:rPr>
          <w:rFonts w:eastAsia="MS Mincho"/>
          <w:lang w:val="en-US"/>
        </w:rPr>
        <w:t>-</w:t>
      </w:r>
      <w:r w:rsidRPr="0026637D">
        <w:rPr>
          <w:rFonts w:eastAsia="MS Mincho"/>
          <w:lang w:val="en-US"/>
        </w:rPr>
        <w:tab/>
        <w:t xml:space="preserve">If the UE does </w:t>
      </w:r>
      <w:r w:rsidRPr="0026637D">
        <w:rPr>
          <w:rFonts w:eastAsia="MS Mincho"/>
          <w:lang w:val="x-none" w:eastAsia="ja-JP"/>
        </w:rPr>
        <w:t>not indicate a capability for dynamic power sharing</w:t>
      </w:r>
      <w:r w:rsidRPr="0026637D">
        <w:rPr>
          <w:rFonts w:eastAsia="MS Mincho"/>
          <w:lang w:val="en-US" w:eastAsia="ja-JP"/>
        </w:rPr>
        <w:t xml:space="preserve"> between E-UTRA and NR, </w:t>
      </w:r>
      <w:r w:rsidRPr="0026637D">
        <w:rPr>
          <w:rFonts w:eastAsia="MS Mincho"/>
          <w:lang w:val="en-US"/>
        </w:rPr>
        <w:t>t</w:t>
      </w:r>
      <w:r w:rsidRPr="0026637D">
        <w:rPr>
          <w:rFonts w:eastAsia="MS Mincho"/>
          <w:lang w:val="x-none"/>
        </w:rPr>
        <w:t xml:space="preserve">he UE </w:t>
      </w:r>
      <w:r w:rsidRPr="0026637D">
        <w:rPr>
          <w:rFonts w:eastAsia="MS Mincho"/>
          <w:lang w:val="en-US" w:eastAsia="zh-CN"/>
        </w:rPr>
        <w:t>does</w:t>
      </w:r>
      <w:r w:rsidRPr="0026637D">
        <w:rPr>
          <w:rFonts w:eastAsia="MS Mincho"/>
          <w:lang w:val="x-none" w:eastAsia="zh-CN"/>
        </w:rPr>
        <w:t xml:space="preserve"> not expect to transmit</w:t>
      </w:r>
      <w:r w:rsidRPr="0026637D">
        <w:rPr>
          <w:rFonts w:eastAsia="MS Mincho"/>
          <w:lang w:val="x-none"/>
        </w:rPr>
        <w:t xml:space="preserve"> in a slot on the SCG</w:t>
      </w:r>
      <w:r w:rsidRPr="0026637D">
        <w:rPr>
          <w:rFonts w:eastAsia="MS Mincho"/>
          <w:lang w:val="en-US"/>
        </w:rPr>
        <w:t xml:space="preserve"> in frequency range 1</w:t>
      </w:r>
      <w:r w:rsidRPr="0026637D">
        <w:rPr>
          <w:rFonts w:eastAsia="MS Mincho"/>
          <w:lang w:val="x-none"/>
        </w:rPr>
        <w:t xml:space="preserve"> </w:t>
      </w:r>
      <w:r w:rsidRPr="0026637D">
        <w:rPr>
          <w:rFonts w:eastAsia="MS Mincho"/>
          <w:lang w:val="en-US"/>
        </w:rPr>
        <w:t>when</w:t>
      </w:r>
      <w:r w:rsidRPr="0026637D">
        <w:rPr>
          <w:rFonts w:eastAsia="MS Mincho"/>
          <w:lang w:val="x-none"/>
        </w:rPr>
        <w:t xml:space="preserve"> a corresponding subframe on the MCG </w:t>
      </w:r>
      <w:r w:rsidRPr="0026637D">
        <w:rPr>
          <w:rFonts w:eastAsia="MS Mincho"/>
          <w:lang w:val="x-none" w:eastAsia="zh-CN"/>
        </w:rPr>
        <w:t>is an</w:t>
      </w:r>
      <w:r w:rsidRPr="0026637D">
        <w:rPr>
          <w:rFonts w:eastAsia="MS Mincho"/>
          <w:lang w:val="x-none"/>
        </w:rPr>
        <w:t xml:space="preserve"> UL </w:t>
      </w:r>
      <w:r w:rsidRPr="0026637D">
        <w:rPr>
          <w:rFonts w:eastAsia="MS Mincho"/>
          <w:lang w:val="x-none" w:eastAsia="zh-CN"/>
        </w:rPr>
        <w:t xml:space="preserve">subframe </w:t>
      </w:r>
      <w:r w:rsidRPr="0026637D">
        <w:rPr>
          <w:rFonts w:eastAsia="MS Mincho"/>
          <w:lang w:val="x-none"/>
        </w:rPr>
        <w:t>in the reference TDD configuration.</w:t>
      </w:r>
    </w:p>
    <w:p w:rsidR="0026637D" w:rsidRPr="0026637D" w:rsidRDefault="0026637D" w:rsidP="0026637D">
      <w:pPr>
        <w:ind w:left="568" w:hanging="284"/>
        <w:rPr>
          <w:rFonts w:eastAsia="MS Mincho"/>
          <w:lang w:val="en-US"/>
        </w:rPr>
      </w:pPr>
      <w:r w:rsidRPr="0026637D">
        <w:rPr>
          <w:rFonts w:eastAsia="MS Mincho"/>
          <w:lang w:val="x-none" w:eastAsia="ja-JP"/>
        </w:rPr>
        <w:t>-</w:t>
      </w:r>
      <w:r w:rsidRPr="0026637D">
        <w:rPr>
          <w:rFonts w:eastAsia="MS Mincho"/>
          <w:lang w:val="x-none" w:eastAsia="ja-JP"/>
        </w:rPr>
        <w:tab/>
        <w:t>If the UE indicate</w:t>
      </w:r>
      <w:r w:rsidRPr="0026637D">
        <w:rPr>
          <w:rFonts w:eastAsia="MS Mincho"/>
          <w:lang w:val="en-US" w:eastAsia="ja-JP"/>
        </w:rPr>
        <w:t>s</w:t>
      </w:r>
      <w:r w:rsidRPr="0026637D">
        <w:rPr>
          <w:rFonts w:eastAsia="MS Mincho"/>
          <w:lang w:val="x-none" w:eastAsia="ja-JP"/>
        </w:rPr>
        <w:t xml:space="preserve"> a capability for dynamic power sharing</w:t>
      </w:r>
      <w:r w:rsidRPr="0026637D">
        <w:rPr>
          <w:rFonts w:eastAsia="MS Mincho"/>
          <w:lang w:val="en-US" w:eastAsia="ja-JP"/>
        </w:rPr>
        <w:t xml:space="preserve"> between E-UTRA and NR and</w:t>
      </w:r>
    </w:p>
    <w:p w:rsidR="0026637D" w:rsidRPr="0026637D" w:rsidRDefault="0026637D" w:rsidP="0026637D">
      <w:pPr>
        <w:ind w:left="851" w:hanging="284"/>
        <w:rPr>
          <w:rFonts w:eastAsia="MS Mincho"/>
          <w:lang w:val="en-US"/>
        </w:rPr>
      </w:pPr>
      <w:r w:rsidRPr="0026637D">
        <w:rPr>
          <w:rFonts w:eastAsia="MS Mincho"/>
          <w:lang w:val="en-US"/>
        </w:rPr>
        <w:t>-</w:t>
      </w:r>
      <w:r w:rsidRPr="0026637D">
        <w:rPr>
          <w:rFonts w:eastAsia="MS Mincho"/>
          <w:lang w:val="en-US"/>
        </w:rPr>
        <w:tab/>
        <w:t xml:space="preserve">if the UE transmission(s) in subframe </w:t>
      </w:r>
      <w:r w:rsidRPr="0026637D">
        <w:rPr>
          <w:position w:val="-10"/>
          <w:lang w:val="x-none"/>
        </w:rPr>
        <w:object w:dxaOrig="165" w:dyaOrig="300">
          <v:shape id="_x0000_i1039" type="#_x0000_t75" style="width:8.5pt;height:15pt" o:ole="">
            <v:imagedata r:id="rId35" o:title=""/>
          </v:shape>
          <o:OLEObject Type="Embed" ProgID="Equation.3" ShapeID="_x0000_i1039" DrawAspect="Content" ObjectID="_1599657305" r:id="rId36"/>
        </w:object>
      </w:r>
      <w:r w:rsidRPr="0026637D">
        <w:rPr>
          <w:rFonts w:eastAsia="MS Mincho"/>
          <w:lang w:val="x-none" w:eastAsia="zh-CN"/>
        </w:rPr>
        <w:t xml:space="preserve"> </w:t>
      </w:r>
      <w:r w:rsidRPr="0026637D">
        <w:rPr>
          <w:rFonts w:eastAsia="MS Mincho"/>
          <w:lang w:val="en-US" w:eastAsia="zh-CN"/>
        </w:rPr>
        <w:t xml:space="preserve">of the MCG overlap in time with UE transmission(s) in slot </w:t>
      </w:r>
      <w:r w:rsidRPr="0026637D">
        <w:rPr>
          <w:position w:val="-10"/>
          <w:lang w:val="x-none"/>
        </w:rPr>
        <w:object w:dxaOrig="195" w:dyaOrig="300">
          <v:shape id="_x0000_i1040" type="#_x0000_t75" style="width:10pt;height:15pt" o:ole="">
            <v:imagedata r:id="rId37" o:title=""/>
          </v:shape>
          <o:OLEObject Type="Embed" ProgID="Equation.3" ShapeID="_x0000_i1040" DrawAspect="Content" ObjectID="_1599657306" r:id="rId38"/>
        </w:object>
      </w:r>
      <w:r w:rsidRPr="0026637D">
        <w:rPr>
          <w:rFonts w:eastAsia="MS Mincho"/>
          <w:lang w:val="en-US"/>
        </w:rPr>
        <w:t xml:space="preserve"> of the SCG in frequency range 1, and</w:t>
      </w:r>
    </w:p>
    <w:p w:rsidR="0026637D" w:rsidRPr="0026637D" w:rsidRDefault="0026637D" w:rsidP="0026637D">
      <w:pPr>
        <w:ind w:left="851" w:hanging="284"/>
        <w:rPr>
          <w:rFonts w:eastAsia="MS Mincho"/>
          <w:lang w:val="en-US"/>
        </w:rPr>
      </w:pPr>
      <w:r w:rsidRPr="0026637D">
        <w:rPr>
          <w:rFonts w:eastAsia="MS Mincho"/>
          <w:lang w:val="en-US"/>
        </w:rPr>
        <w:t>-</w:t>
      </w:r>
      <w:r w:rsidRPr="0026637D">
        <w:rPr>
          <w:rFonts w:eastAsia="MS Mincho"/>
          <w:lang w:val="en-US"/>
        </w:rPr>
        <w:tab/>
        <w:t xml:space="preserve">if </w:t>
      </w:r>
      <w:r w:rsidRPr="0026637D">
        <w:rPr>
          <w:position w:val="-10"/>
          <w:lang w:val="x-none"/>
        </w:rPr>
        <w:object w:dxaOrig="2235" w:dyaOrig="330">
          <v:shape id="_x0000_i1041" type="#_x0000_t75" style="width:112pt;height:16.5pt" o:ole="">
            <v:imagedata r:id="rId39" o:title=""/>
          </v:shape>
          <o:OLEObject Type="Embed" ProgID="Equation.3" ShapeID="_x0000_i1041" DrawAspect="Content" ObjectID="_1599657307" r:id="rId40"/>
        </w:object>
      </w:r>
      <w:r w:rsidRPr="0026637D">
        <w:rPr>
          <w:rFonts w:eastAsia="MS Mincho"/>
          <w:lang w:val="en-US"/>
        </w:rPr>
        <w:t xml:space="preserve"> in any portion of </w:t>
      </w:r>
      <w:r w:rsidRPr="0026637D">
        <w:rPr>
          <w:rFonts w:eastAsia="MS Mincho"/>
          <w:lang w:val="en-US" w:eastAsia="zh-CN"/>
        </w:rPr>
        <w:t xml:space="preserve">slot </w:t>
      </w:r>
      <w:r w:rsidRPr="0026637D">
        <w:rPr>
          <w:position w:val="-10"/>
          <w:lang w:val="x-none"/>
        </w:rPr>
        <w:object w:dxaOrig="195" w:dyaOrig="300">
          <v:shape id="_x0000_i1042" type="#_x0000_t75" style="width:10pt;height:15pt" o:ole="">
            <v:imagedata r:id="rId37" o:title=""/>
          </v:shape>
          <o:OLEObject Type="Embed" ProgID="Equation.3" ShapeID="_x0000_i1042" DrawAspect="Content" ObjectID="_1599657308" r:id="rId41"/>
        </w:object>
      </w:r>
      <w:r w:rsidRPr="0026637D">
        <w:rPr>
          <w:rFonts w:eastAsia="MS Mincho"/>
          <w:lang w:val="en-US"/>
        </w:rPr>
        <w:t xml:space="preserve"> of the SCG</w:t>
      </w:r>
      <w:r w:rsidRPr="0026637D">
        <w:rPr>
          <w:rFonts w:eastAsia="MS Mincho"/>
          <w:lang w:val="x-none" w:eastAsia="zh-CN"/>
        </w:rPr>
        <w:t xml:space="preserve">, </w:t>
      </w:r>
    </w:p>
    <w:p w:rsidR="0026637D" w:rsidRPr="0026637D" w:rsidRDefault="0026637D" w:rsidP="0026637D">
      <w:pPr>
        <w:ind w:left="851" w:hanging="284"/>
        <w:rPr>
          <w:rFonts w:eastAsia="MS Mincho"/>
          <w:lang w:val="en-US"/>
        </w:rPr>
      </w:pPr>
      <w:r w:rsidRPr="0026637D">
        <w:rPr>
          <w:rFonts w:eastAsia="MS Mincho"/>
          <w:lang w:val="x-none"/>
        </w:rPr>
        <w:tab/>
        <w:t xml:space="preserve">the UE </w:t>
      </w:r>
      <w:r w:rsidRPr="0026637D">
        <w:rPr>
          <w:rFonts w:eastAsia="MS Mincho"/>
          <w:lang w:val="x-none" w:eastAsia="zh-CN"/>
        </w:rPr>
        <w:t xml:space="preserve">reduces </w:t>
      </w:r>
      <w:r w:rsidRPr="0026637D">
        <w:rPr>
          <w:rFonts w:eastAsia="MS Mincho"/>
          <w:lang w:val="en-US" w:eastAsia="zh-CN"/>
        </w:rPr>
        <w:t>transmission power</w:t>
      </w:r>
      <w:r w:rsidRPr="0026637D">
        <w:rPr>
          <w:rFonts w:eastAsia="MS Mincho"/>
          <w:lang w:val="x-none"/>
        </w:rPr>
        <w:t xml:space="preserve"> </w:t>
      </w:r>
      <w:r w:rsidRPr="0026637D">
        <w:rPr>
          <w:rFonts w:eastAsia="MS Mincho"/>
          <w:lang w:val="en-US" w:eastAsia="zh-CN"/>
        </w:rPr>
        <w:t xml:space="preserve">in any </w:t>
      </w:r>
      <w:r w:rsidRPr="0026637D">
        <w:rPr>
          <w:rFonts w:eastAsia="MS Mincho"/>
          <w:lang w:val="en-US"/>
        </w:rPr>
        <w:t xml:space="preserve">portion of </w:t>
      </w:r>
      <w:r w:rsidRPr="0026637D">
        <w:rPr>
          <w:rFonts w:eastAsia="MS Mincho"/>
          <w:lang w:val="en-US" w:eastAsia="zh-CN"/>
        </w:rPr>
        <w:t xml:space="preserve">slot </w:t>
      </w:r>
      <w:r w:rsidRPr="0026637D">
        <w:rPr>
          <w:position w:val="-10"/>
          <w:lang w:val="x-none"/>
        </w:rPr>
        <w:object w:dxaOrig="195" w:dyaOrig="300">
          <v:shape id="_x0000_i1043" type="#_x0000_t75" style="width:10pt;height:15pt" o:ole="">
            <v:imagedata r:id="rId37" o:title=""/>
          </v:shape>
          <o:OLEObject Type="Embed" ProgID="Equation.3" ShapeID="_x0000_i1043" DrawAspect="Content" ObjectID="_1599657309" r:id="rId42"/>
        </w:object>
      </w:r>
      <w:r w:rsidRPr="0026637D">
        <w:rPr>
          <w:rFonts w:eastAsia="MS Mincho"/>
          <w:lang w:val="en-US"/>
        </w:rPr>
        <w:t xml:space="preserve"> </w:t>
      </w:r>
      <w:r w:rsidRPr="0026637D">
        <w:rPr>
          <w:rFonts w:eastAsia="MS Mincho"/>
          <w:lang w:val="x-none" w:eastAsia="zh-CN"/>
        </w:rPr>
        <w:t>o</w:t>
      </w:r>
      <w:r w:rsidRPr="0026637D">
        <w:rPr>
          <w:rFonts w:eastAsia="MS Mincho"/>
          <w:lang w:val="en-US" w:eastAsia="zh-CN"/>
        </w:rPr>
        <w:t>f</w:t>
      </w:r>
      <w:r w:rsidRPr="0026637D">
        <w:rPr>
          <w:rFonts w:eastAsia="MS Mincho"/>
          <w:lang w:val="x-none" w:eastAsia="zh-CN"/>
        </w:rPr>
        <w:t xml:space="preserve"> the SCG so that </w:t>
      </w:r>
      <w:r w:rsidRPr="0026637D">
        <w:rPr>
          <w:position w:val="-10"/>
          <w:lang w:val="x-none"/>
        </w:rPr>
        <w:object w:dxaOrig="2205" w:dyaOrig="330">
          <v:shape id="_x0000_i1044" type="#_x0000_t75" style="width:110.5pt;height:16.5pt" o:ole="">
            <v:imagedata r:id="rId43" o:title=""/>
          </v:shape>
          <o:OLEObject Type="Embed" ProgID="Equation.3" ShapeID="_x0000_i1044" DrawAspect="Content" ObjectID="_1599657310" r:id="rId44"/>
        </w:object>
      </w:r>
      <w:r w:rsidRPr="0026637D">
        <w:rPr>
          <w:rFonts w:eastAsia="MS Mincho"/>
          <w:lang w:val="en-US"/>
        </w:rPr>
        <w:t xml:space="preserve"> in any portion of </w:t>
      </w:r>
      <w:r w:rsidRPr="0026637D">
        <w:rPr>
          <w:rFonts w:eastAsia="MS Mincho"/>
          <w:lang w:val="en-US" w:eastAsia="zh-CN"/>
        </w:rPr>
        <w:t xml:space="preserve">slot </w:t>
      </w:r>
      <w:r w:rsidRPr="0026637D">
        <w:rPr>
          <w:position w:val="-10"/>
          <w:lang w:val="x-none"/>
        </w:rPr>
        <w:object w:dxaOrig="195" w:dyaOrig="300">
          <v:shape id="_x0000_i1045" type="#_x0000_t75" style="width:10pt;height:15pt" o:ole="">
            <v:imagedata r:id="rId37" o:title=""/>
          </v:shape>
          <o:OLEObject Type="Embed" ProgID="Equation.3" ShapeID="_x0000_i1045" DrawAspect="Content" ObjectID="_1599657311" r:id="rId45"/>
        </w:object>
      </w:r>
      <w:r w:rsidRPr="0026637D">
        <w:rPr>
          <w:rFonts w:eastAsia="MS Mincho"/>
          <w:lang w:val="en-US"/>
        </w:rPr>
        <w:t>,</w:t>
      </w:r>
      <w:r w:rsidRPr="0026637D">
        <w:rPr>
          <w:rFonts w:eastAsia="MS Mincho"/>
          <w:lang w:val="x-none" w:eastAsia="zh-CN"/>
        </w:rPr>
        <w:t xml:space="preserve"> where </w:t>
      </w:r>
      <w:r w:rsidRPr="0026637D">
        <w:rPr>
          <w:position w:val="-10"/>
          <w:lang w:val="x-none"/>
        </w:rPr>
        <w:object w:dxaOrig="705" w:dyaOrig="330">
          <v:shape id="_x0000_i1046" type="#_x0000_t75" style="width:35.5pt;height:16.5pt" o:ole="">
            <v:imagedata r:id="rId46" o:title=""/>
          </v:shape>
          <o:OLEObject Type="Embed" ProgID="Equation.3" ShapeID="_x0000_i1046" DrawAspect="Content" ObjectID="_1599657312" r:id="rId47"/>
        </w:object>
      </w:r>
      <w:r w:rsidRPr="0026637D">
        <w:rPr>
          <w:rFonts w:eastAsia="MS Mincho"/>
          <w:lang w:val="x-none"/>
        </w:rPr>
        <w:t xml:space="preserve"> and </w:t>
      </w:r>
      <w:r w:rsidRPr="0026637D">
        <w:rPr>
          <w:position w:val="-10"/>
          <w:lang w:val="x-none"/>
        </w:rPr>
        <w:object w:dxaOrig="690" w:dyaOrig="330">
          <v:shape id="_x0000_i1047" type="#_x0000_t75" style="width:34.5pt;height:16.5pt" o:ole="">
            <v:imagedata r:id="rId48" o:title=""/>
          </v:shape>
          <o:OLEObject Type="Embed" ProgID="Equation.3" ShapeID="_x0000_i1047" DrawAspect="Content" ObjectID="_1599657313" r:id="rId49"/>
        </w:object>
      </w:r>
      <w:r w:rsidRPr="0026637D">
        <w:rPr>
          <w:rFonts w:eastAsia="MS Mincho"/>
          <w:lang w:val="x-none"/>
        </w:rPr>
        <w:t xml:space="preserve"> </w:t>
      </w:r>
      <w:r w:rsidRPr="0026637D">
        <w:rPr>
          <w:rFonts w:eastAsia="MS Mincho"/>
          <w:lang w:val="en-US"/>
        </w:rPr>
        <w:t xml:space="preserve">are </w:t>
      </w:r>
      <w:r w:rsidRPr="0026637D">
        <w:rPr>
          <w:rFonts w:eastAsia="MS Mincho"/>
          <w:lang w:val="x-none"/>
        </w:rPr>
        <w:t xml:space="preserve">the linear values of the </w:t>
      </w:r>
      <w:r w:rsidRPr="0026637D">
        <w:rPr>
          <w:rFonts w:eastAsia="MS Mincho"/>
          <w:lang w:val="en-US"/>
        </w:rPr>
        <w:t xml:space="preserve">total </w:t>
      </w:r>
      <w:r w:rsidRPr="0026637D">
        <w:rPr>
          <w:rFonts w:eastAsia="MS Mincho"/>
          <w:lang w:val="x-none"/>
        </w:rPr>
        <w:t>UE transmi</w:t>
      </w:r>
      <w:r w:rsidRPr="0026637D">
        <w:rPr>
          <w:rFonts w:eastAsia="MS Mincho"/>
          <w:lang w:val="en-US"/>
        </w:rPr>
        <w:t>ssion</w:t>
      </w:r>
      <w:r w:rsidRPr="0026637D">
        <w:rPr>
          <w:rFonts w:eastAsia="MS Mincho"/>
          <w:lang w:val="x-none"/>
        </w:rPr>
        <w:t xml:space="preserve"> power</w:t>
      </w:r>
      <w:r w:rsidRPr="0026637D">
        <w:rPr>
          <w:rFonts w:eastAsia="MS Mincho"/>
          <w:lang w:val="x-none" w:eastAsia="zh-CN"/>
        </w:rPr>
        <w:t>s</w:t>
      </w:r>
      <w:r w:rsidRPr="0026637D">
        <w:rPr>
          <w:rFonts w:eastAsia="MS Mincho"/>
          <w:lang w:val="x-none"/>
        </w:rPr>
        <w:t xml:space="preserve"> </w:t>
      </w:r>
      <w:r w:rsidRPr="0026637D">
        <w:rPr>
          <w:rFonts w:eastAsia="MS Mincho"/>
          <w:lang w:val="en-US"/>
        </w:rPr>
        <w:t>in</w:t>
      </w:r>
      <w:r w:rsidRPr="0026637D">
        <w:rPr>
          <w:rFonts w:eastAsia="MS Mincho"/>
          <w:lang w:val="x-none" w:eastAsia="zh-CN"/>
        </w:rPr>
        <w:t xml:space="preserve"> subframe </w:t>
      </w:r>
      <w:r w:rsidRPr="0026637D">
        <w:rPr>
          <w:position w:val="-10"/>
          <w:lang w:val="x-none"/>
        </w:rPr>
        <w:object w:dxaOrig="165" w:dyaOrig="300">
          <v:shape id="_x0000_i1048" type="#_x0000_t75" style="width:8.5pt;height:15pt" o:ole="">
            <v:imagedata r:id="rId35" o:title=""/>
          </v:shape>
          <o:OLEObject Type="Embed" ProgID="Equation.3" ShapeID="_x0000_i1048" DrawAspect="Content" ObjectID="_1599657314" r:id="rId50"/>
        </w:object>
      </w:r>
      <w:r w:rsidRPr="0026637D">
        <w:rPr>
          <w:rFonts w:eastAsia="MS Mincho"/>
          <w:lang w:val="x-none" w:eastAsia="zh-CN"/>
        </w:rPr>
        <w:t xml:space="preserve"> </w:t>
      </w:r>
      <w:r w:rsidRPr="0026637D">
        <w:rPr>
          <w:rFonts w:eastAsia="MS Mincho"/>
          <w:lang w:val="en-US" w:eastAsia="zh-CN"/>
        </w:rPr>
        <w:t xml:space="preserve">of the MCG </w:t>
      </w:r>
      <w:r w:rsidRPr="0026637D">
        <w:rPr>
          <w:rFonts w:eastAsia="MS Mincho"/>
          <w:lang w:val="x-none"/>
        </w:rPr>
        <w:t xml:space="preserve">and </w:t>
      </w:r>
      <w:r w:rsidRPr="0026637D">
        <w:rPr>
          <w:rFonts w:eastAsia="MS Mincho"/>
          <w:lang w:val="en-US"/>
        </w:rPr>
        <w:t>in</w:t>
      </w:r>
      <w:r w:rsidRPr="0026637D">
        <w:rPr>
          <w:rFonts w:eastAsia="MS Mincho"/>
          <w:lang w:val="x-none" w:eastAsia="zh-CN"/>
        </w:rPr>
        <w:t xml:space="preserve"> slot </w:t>
      </w:r>
      <w:r w:rsidRPr="0026637D">
        <w:rPr>
          <w:position w:val="-10"/>
          <w:lang w:val="x-none"/>
        </w:rPr>
        <w:object w:dxaOrig="195" w:dyaOrig="300">
          <v:shape id="_x0000_i1049" type="#_x0000_t75" style="width:10pt;height:15pt" o:ole="">
            <v:imagedata r:id="rId37" o:title=""/>
          </v:shape>
          <o:OLEObject Type="Embed" ProgID="Equation.3" ShapeID="_x0000_i1049" DrawAspect="Content" ObjectID="_1599657315" r:id="rId51"/>
        </w:object>
      </w:r>
      <w:r w:rsidRPr="0026637D">
        <w:rPr>
          <w:rFonts w:eastAsia="MS Mincho"/>
          <w:lang w:val="en-US"/>
        </w:rPr>
        <w:t xml:space="preserve"> of the SCG in frequency range 1</w:t>
      </w:r>
      <w:r w:rsidRPr="0026637D">
        <w:rPr>
          <w:rFonts w:eastAsia="MS Mincho"/>
          <w:lang w:val="x-none"/>
        </w:rPr>
        <w:t>, respectively.</w:t>
      </w:r>
    </w:p>
    <w:p w:rsidR="0026637D" w:rsidRPr="0026637D" w:rsidRDefault="0026637D" w:rsidP="0026637D">
      <w:pPr>
        <w:ind w:left="568" w:hanging="284"/>
        <w:rPr>
          <w:rFonts w:eastAsia="MS Mincho"/>
          <w:lang w:val="x-none"/>
        </w:rPr>
      </w:pPr>
      <w:r w:rsidRPr="0026637D">
        <w:rPr>
          <w:rFonts w:eastAsia="MS Mincho"/>
          <w:lang w:val="x-none"/>
        </w:rPr>
        <w:t>-</w:t>
      </w:r>
      <w:r w:rsidRPr="0026637D">
        <w:rPr>
          <w:rFonts w:eastAsia="MS Mincho"/>
          <w:lang w:val="x-none"/>
        </w:rPr>
        <w:tab/>
        <w:t xml:space="preserve">If the UE </w:t>
      </w:r>
      <w:r w:rsidRPr="0026637D">
        <w:rPr>
          <w:rFonts w:eastAsia="MS Mincho"/>
          <w:lang w:val="en-US"/>
        </w:rPr>
        <w:t xml:space="preserve">does </w:t>
      </w:r>
      <w:r w:rsidRPr="0026637D">
        <w:rPr>
          <w:rFonts w:eastAsia="MS Mincho"/>
          <w:lang w:val="x-none" w:eastAsia="ja-JP"/>
        </w:rPr>
        <w:t>not indicate a capability for dynamic power sharing</w:t>
      </w:r>
      <w:r w:rsidRPr="0026637D">
        <w:rPr>
          <w:rFonts w:eastAsia="MS Mincho"/>
          <w:lang w:val="en-US" w:eastAsia="ja-JP"/>
        </w:rPr>
        <w:t xml:space="preserve"> between E-UTRA and NR, the UE expects to be configured </w:t>
      </w:r>
      <w:r w:rsidRPr="0026637D">
        <w:rPr>
          <w:rFonts w:eastAsia="MS Mincho"/>
          <w:lang w:val="x-none" w:eastAsia="zh-CN"/>
        </w:rPr>
        <w:t xml:space="preserve">with </w:t>
      </w:r>
      <w:r w:rsidRPr="0026637D">
        <w:rPr>
          <w:rFonts w:eastAsia="MS Mincho"/>
          <w:lang w:val="x-none"/>
        </w:rPr>
        <w:t>reference TDD configuration</w:t>
      </w:r>
      <w:r w:rsidRPr="0026637D">
        <w:rPr>
          <w:rFonts w:eastAsia="MS Mincho"/>
          <w:lang w:val="x-none" w:eastAsia="zh-CN"/>
        </w:rPr>
        <w:t xml:space="preserve"> </w:t>
      </w:r>
      <w:r w:rsidRPr="0026637D">
        <w:rPr>
          <w:rFonts w:eastAsia="MS Mincho"/>
          <w:lang w:val="en-US" w:eastAsia="zh-CN"/>
        </w:rPr>
        <w:t xml:space="preserve">for E-UTRA (by higher layer parameter </w:t>
      </w:r>
      <w:r w:rsidRPr="0026637D">
        <w:rPr>
          <w:rFonts w:eastAsia="MS Mincho"/>
          <w:i/>
          <w:iCs/>
          <w:lang w:val="x-none" w:eastAsia="zh-CN"/>
        </w:rPr>
        <w:t>tdm-PatternConfig-r15</w:t>
      </w:r>
      <w:r w:rsidRPr="0026637D">
        <w:rPr>
          <w:rFonts w:eastAsia="MS Mincho"/>
          <w:lang w:val="en-US" w:eastAsia="zh-CN"/>
        </w:rPr>
        <w:t xml:space="preserve"> in </w:t>
      </w:r>
      <w:r w:rsidRPr="0026637D">
        <w:rPr>
          <w:rFonts w:eastAsia="MS Mincho"/>
          <w:lang w:val="x-none" w:eastAsia="zh-CN"/>
        </w:rPr>
        <w:t>[13, TS 36.213]</w:t>
      </w:r>
      <w:r w:rsidRPr="0026637D">
        <w:rPr>
          <w:rFonts w:eastAsia="MS Mincho"/>
          <w:lang w:val="en-US" w:eastAsia="zh-CN"/>
        </w:rPr>
        <w:t>).</w:t>
      </w:r>
      <w:r w:rsidRPr="0026637D">
        <w:rPr>
          <w:rFonts w:eastAsia="MS Mincho"/>
          <w:lang w:val="x-none"/>
        </w:rPr>
        <w:t xml:space="preserve"> </w:t>
      </w:r>
    </w:p>
    <w:p w:rsidR="0026637D" w:rsidRPr="0026637D" w:rsidRDefault="0026637D" w:rsidP="0026637D">
      <w:pPr>
        <w:keepNext/>
        <w:keepLines/>
        <w:spacing w:before="120"/>
        <w:ind w:left="1134" w:hanging="1134"/>
        <w:outlineLvl w:val="2"/>
        <w:rPr>
          <w:rFonts w:ascii="Arial" w:hAnsi="Arial"/>
          <w:sz w:val="28"/>
        </w:rPr>
      </w:pPr>
      <w:bookmarkStart w:id="4" w:name="_Toc525657928"/>
      <w:r w:rsidRPr="0026637D">
        <w:rPr>
          <w:rFonts w:ascii="Arial" w:hAnsi="Arial"/>
          <w:sz w:val="28"/>
        </w:rPr>
        <w:lastRenderedPageBreak/>
        <w:t>7.6.2</w:t>
      </w:r>
      <w:r w:rsidRPr="0026637D">
        <w:rPr>
          <w:rFonts w:ascii="Arial" w:hAnsi="Arial"/>
          <w:sz w:val="28"/>
        </w:rPr>
        <w:tab/>
        <w:t>NN-DC</w:t>
      </w:r>
      <w:bookmarkEnd w:id="4"/>
    </w:p>
    <w:p w:rsidR="005532AF" w:rsidRDefault="0026637D" w:rsidP="004D1CC5">
      <w:pPr>
        <w:rPr>
          <w:lang w:eastAsia="ja-JP"/>
        </w:rPr>
      </w:pPr>
      <w:r w:rsidRPr="0026637D">
        <w:t xml:space="preserve">If a UE is configured with a MCG using </w:t>
      </w:r>
      <w:r w:rsidRPr="0026637D">
        <w:rPr>
          <w:lang w:val="en-US"/>
        </w:rPr>
        <w:t>NR</w:t>
      </w:r>
      <w:r w:rsidRPr="0026637D">
        <w:t xml:space="preserve"> radio access </w:t>
      </w:r>
      <w:r w:rsidRPr="0026637D">
        <w:rPr>
          <w:lang w:val="en-US"/>
        </w:rPr>
        <w:t xml:space="preserve">in frequency range 1 or in frequency range 2 </w:t>
      </w:r>
      <w:r w:rsidRPr="0026637D">
        <w:t xml:space="preserve">and with a SCG using </w:t>
      </w:r>
      <w:r w:rsidRPr="0026637D">
        <w:rPr>
          <w:lang w:eastAsia="ja-JP"/>
        </w:rPr>
        <w:t>NR radio access</w:t>
      </w:r>
      <w:r w:rsidRPr="0026637D">
        <w:rPr>
          <w:lang w:val="en-US" w:eastAsia="ja-JP"/>
        </w:rPr>
        <w:t xml:space="preserve"> in </w:t>
      </w:r>
      <w:r w:rsidRPr="0026637D">
        <w:rPr>
          <w:lang w:val="en-US"/>
        </w:rPr>
        <w:t>frequency range 2 or in frequency range 1</w:t>
      </w:r>
      <w:r w:rsidRPr="0026637D">
        <w:rPr>
          <w:lang w:eastAsia="ja-JP"/>
        </w:rPr>
        <w:t xml:space="preserve">, </w:t>
      </w:r>
      <w:r w:rsidRPr="0026637D">
        <w:rPr>
          <w:lang w:val="en-US" w:eastAsia="ja-JP"/>
        </w:rPr>
        <w:t xml:space="preserve">respectively, </w:t>
      </w:r>
      <w:r w:rsidRPr="0026637D">
        <w:t xml:space="preserve">the </w:t>
      </w:r>
      <w:r w:rsidRPr="0026637D">
        <w:rPr>
          <w:lang w:val="en-US"/>
        </w:rPr>
        <w:t>UE performs transmission power control independently per cell group as described in Subclauses 7.1 through 7.5</w:t>
      </w:r>
      <w:r w:rsidRPr="0026637D">
        <w:rPr>
          <w:lang w:eastAsia="ja-JP"/>
        </w:rPr>
        <w:t>.</w:t>
      </w:r>
    </w:p>
    <w:p w:rsidR="005532AF" w:rsidRPr="005532AF" w:rsidRDefault="005532AF" w:rsidP="005532AF">
      <w:pPr>
        <w:keepNext/>
        <w:keepLines/>
        <w:spacing w:before="120"/>
        <w:ind w:left="1134" w:hanging="1134"/>
        <w:outlineLvl w:val="2"/>
        <w:rPr>
          <w:rFonts w:ascii="Arial" w:hAnsi="Arial"/>
          <w:color w:val="FF0000"/>
          <w:sz w:val="28"/>
          <w:u w:val="single"/>
        </w:rPr>
      </w:pPr>
      <w:r w:rsidRPr="005532AF">
        <w:rPr>
          <w:rFonts w:ascii="Arial" w:hAnsi="Arial"/>
          <w:color w:val="FF0000"/>
          <w:sz w:val="28"/>
          <w:u w:val="single"/>
        </w:rPr>
        <w:t>7.6.3</w:t>
      </w:r>
      <w:r w:rsidRPr="005532AF">
        <w:rPr>
          <w:rFonts w:ascii="Arial" w:hAnsi="Arial"/>
          <w:color w:val="FF0000"/>
          <w:sz w:val="28"/>
          <w:u w:val="single"/>
        </w:rPr>
        <w:tab/>
        <w:t>NE-DC</w:t>
      </w:r>
    </w:p>
    <w:p w:rsidR="00280DE7" w:rsidRDefault="0026637D" w:rsidP="0026637D">
      <w:pPr>
        <w:rPr>
          <w:color w:val="FF0000"/>
          <w:u w:val="single"/>
          <w:lang w:val="en-US"/>
        </w:rPr>
      </w:pPr>
      <w:r w:rsidRPr="0026637D">
        <w:rPr>
          <w:color w:val="FF0000"/>
          <w:u w:val="single"/>
        </w:rPr>
        <w:t xml:space="preserve">If a UE is configured with a MCG using </w:t>
      </w:r>
      <w:r>
        <w:rPr>
          <w:color w:val="FF0000"/>
          <w:u w:val="single"/>
        </w:rPr>
        <w:t>NR</w:t>
      </w:r>
      <w:r w:rsidRPr="0026637D">
        <w:rPr>
          <w:color w:val="FF0000"/>
          <w:u w:val="single"/>
        </w:rPr>
        <w:t xml:space="preserve"> radio access and with a SCG using </w:t>
      </w:r>
      <w:r>
        <w:rPr>
          <w:color w:val="FF0000"/>
          <w:u w:val="single"/>
        </w:rPr>
        <w:t>E-UTRA</w:t>
      </w:r>
      <w:r w:rsidRPr="0026637D">
        <w:rPr>
          <w:color w:val="FF0000"/>
          <w:u w:val="single"/>
          <w:lang w:eastAsia="ja-JP"/>
        </w:rPr>
        <w:t xml:space="preserve"> radio access, the UE is configured a maximum power </w:t>
      </w:r>
      <w:r w:rsidRPr="0026637D">
        <w:rPr>
          <w:color w:val="FF0000"/>
          <w:position w:val="-10"/>
          <w:u w:val="single"/>
        </w:rPr>
        <w:object w:dxaOrig="375" w:dyaOrig="300">
          <v:shape id="_x0000_i1050" type="#_x0000_t75" style="width:19pt;height:15pt" o:ole="">
            <v:imagedata r:id="rId17" o:title=""/>
          </v:shape>
          <o:OLEObject Type="Embed" ProgID="Equation.3" ShapeID="_x0000_i1050" DrawAspect="Content" ObjectID="_1599657316" r:id="rId52"/>
        </w:object>
      </w:r>
      <w:r w:rsidRPr="0026637D">
        <w:rPr>
          <w:color w:val="FF0000"/>
          <w:u w:val="single"/>
        </w:rPr>
        <w:t xml:space="preserve"> </w:t>
      </w:r>
      <w:r w:rsidRPr="0026637D">
        <w:rPr>
          <w:color w:val="FF0000"/>
          <w:u w:val="single"/>
          <w:lang w:eastAsia="ja-JP"/>
        </w:rPr>
        <w:t>for transmissio</w:t>
      </w:r>
      <w:r>
        <w:rPr>
          <w:color w:val="FF0000"/>
          <w:u w:val="single"/>
          <w:lang w:eastAsia="ja-JP"/>
        </w:rPr>
        <w:t>ns in frequency range 1 on the M</w:t>
      </w:r>
      <w:r w:rsidRPr="0026637D">
        <w:rPr>
          <w:color w:val="FF0000"/>
          <w:u w:val="single"/>
          <w:lang w:eastAsia="ja-JP"/>
        </w:rPr>
        <w:t xml:space="preserve">CG by higher layer parameter </w:t>
      </w:r>
      <w:r w:rsidRPr="0026637D">
        <w:rPr>
          <w:i/>
          <w:color w:val="FF0000"/>
          <w:u w:val="single"/>
          <w:lang w:eastAsia="ja-JP"/>
        </w:rPr>
        <w:t>p-NR</w:t>
      </w:r>
      <w:r>
        <w:rPr>
          <w:color w:val="FF0000"/>
          <w:u w:val="single"/>
          <w:lang w:eastAsia="ja-JP"/>
        </w:rPr>
        <w:t xml:space="preserve">, and </w:t>
      </w:r>
      <w:r w:rsidRPr="0026637D">
        <w:rPr>
          <w:color w:val="FF0000"/>
          <w:u w:val="single"/>
          <w:lang w:eastAsia="ja-JP"/>
        </w:rPr>
        <w:t xml:space="preserve">a maximum power </w:t>
      </w:r>
      <w:r w:rsidRPr="0026637D">
        <w:rPr>
          <w:color w:val="FF0000"/>
          <w:position w:val="-10"/>
          <w:u w:val="single"/>
        </w:rPr>
        <w:object w:dxaOrig="405" w:dyaOrig="300">
          <v:shape id="_x0000_i1051" type="#_x0000_t75" style="width:20.5pt;height:15pt" o:ole="">
            <v:imagedata r:id="rId15" o:title=""/>
          </v:shape>
          <o:OLEObject Type="Embed" ProgID="Equation.3" ShapeID="_x0000_i1051" DrawAspect="Content" ObjectID="_1599657317" r:id="rId53"/>
        </w:object>
      </w:r>
      <w:r>
        <w:rPr>
          <w:color w:val="FF0000"/>
          <w:u w:val="single"/>
          <w:lang w:eastAsia="ja-JP"/>
        </w:rPr>
        <w:t xml:space="preserve"> for transmissions on the S</w:t>
      </w:r>
      <w:r w:rsidRPr="0026637D">
        <w:rPr>
          <w:color w:val="FF0000"/>
          <w:u w:val="single"/>
          <w:lang w:eastAsia="ja-JP"/>
        </w:rPr>
        <w:t xml:space="preserve">CG by higher layer parameter </w:t>
      </w:r>
      <w:r w:rsidRPr="0026637D">
        <w:rPr>
          <w:i/>
          <w:color w:val="FF0000"/>
          <w:u w:val="single"/>
          <w:lang w:eastAsia="ja-JP"/>
        </w:rPr>
        <w:t>p-MaxEUTRA</w:t>
      </w:r>
      <w:r>
        <w:rPr>
          <w:color w:val="FF0000"/>
          <w:u w:val="single"/>
          <w:lang w:eastAsia="ja-JP"/>
        </w:rPr>
        <w:t xml:space="preserve">. </w:t>
      </w:r>
      <w:r w:rsidRPr="0026637D">
        <w:rPr>
          <w:color w:val="FF0000"/>
          <w:u w:val="single"/>
          <w:lang w:val="en-US"/>
        </w:rPr>
        <w:t>The UE determines</w:t>
      </w:r>
      <w:r>
        <w:rPr>
          <w:color w:val="FF0000"/>
          <w:u w:val="single"/>
        </w:rPr>
        <w:t xml:space="preserve"> transmission power for the M</w:t>
      </w:r>
      <w:r w:rsidR="00DF496E">
        <w:rPr>
          <w:color w:val="FF0000"/>
          <w:u w:val="single"/>
        </w:rPr>
        <w:t>CG</w:t>
      </w:r>
      <w:r w:rsidRPr="0026637D">
        <w:rPr>
          <w:color w:val="FF0000"/>
          <w:u w:val="single"/>
        </w:rPr>
        <w:t xml:space="preserve"> as described Subclauses 7.1 through 7.5</w:t>
      </w:r>
      <w:r w:rsidRPr="0026637D">
        <w:rPr>
          <w:color w:val="FF0000"/>
          <w:u w:val="single"/>
          <w:lang w:val="en-US"/>
        </w:rPr>
        <w:t xml:space="preserve"> using </w:t>
      </w:r>
      <w:r w:rsidRPr="0026637D">
        <w:rPr>
          <w:color w:val="FF0000"/>
          <w:position w:val="-10"/>
          <w:u w:val="single"/>
        </w:rPr>
        <w:object w:dxaOrig="375" w:dyaOrig="300">
          <v:shape id="_x0000_i1052" type="#_x0000_t75" style="width:19pt;height:15pt" o:ole="">
            <v:imagedata r:id="rId21" o:title=""/>
          </v:shape>
          <o:OLEObject Type="Embed" ProgID="Equation.3" ShapeID="_x0000_i1052" DrawAspect="Content" ObjectID="_1599657318" r:id="rId54"/>
        </w:object>
      </w:r>
      <w:r w:rsidRPr="0026637D">
        <w:rPr>
          <w:color w:val="FF0000"/>
          <w:u w:val="single"/>
          <w:lang w:val="en-US"/>
        </w:rPr>
        <w:t xml:space="preserve">. The UE </w:t>
      </w:r>
      <w:r w:rsidRPr="005D7FA2">
        <w:rPr>
          <w:color w:val="FF0000"/>
          <w:u w:val="single"/>
          <w:lang w:val="en-US"/>
        </w:rPr>
        <w:t>determines</w:t>
      </w:r>
      <w:r w:rsidRPr="005D7FA2">
        <w:rPr>
          <w:color w:val="FF0000"/>
          <w:u w:val="single"/>
        </w:rPr>
        <w:t xml:space="preserve"> transmission power for the MCG in frequency range 2 as described Subclauses 7.1 through 7.5</w:t>
      </w:r>
      <w:r w:rsidR="00DE615C" w:rsidRPr="005D7FA2">
        <w:rPr>
          <w:color w:val="FF0000"/>
          <w:u w:val="single"/>
        </w:rPr>
        <w:t>.</w:t>
      </w:r>
      <w:r w:rsidR="00DE615C" w:rsidRPr="005D7FA2">
        <w:rPr>
          <w:color w:val="FF0000"/>
          <w:u w:val="single"/>
          <w:lang w:eastAsia="ja-JP"/>
        </w:rPr>
        <w:t xml:space="preserve"> </w:t>
      </w:r>
      <w:r w:rsidRPr="005D7FA2">
        <w:rPr>
          <w:color w:val="FF0000"/>
          <w:u w:val="single"/>
          <w:lang w:val="en-US" w:eastAsia="zh-CN"/>
        </w:rPr>
        <w:t>T</w:t>
      </w:r>
      <w:r w:rsidRPr="005D7FA2">
        <w:rPr>
          <w:color w:val="FF0000"/>
          <w:u w:val="single"/>
        </w:rPr>
        <w:t>he UE determines a transmission power for the SCG as described in [13, TS 36.213]</w:t>
      </w:r>
      <w:r w:rsidR="003839CB" w:rsidRPr="005D7FA2">
        <w:rPr>
          <w:color w:val="FF0000"/>
          <w:u w:val="single"/>
        </w:rPr>
        <w:t>.</w:t>
      </w:r>
      <w:r w:rsidRPr="005D7FA2">
        <w:rPr>
          <w:color w:val="FF0000"/>
          <w:u w:val="single"/>
          <w:lang w:val="en-US"/>
        </w:rPr>
        <w:t xml:space="preserve"> </w:t>
      </w:r>
    </w:p>
    <w:p w:rsidR="005532AF" w:rsidRPr="005D7FA2" w:rsidRDefault="005532AF" w:rsidP="0026637D">
      <w:pPr>
        <w:rPr>
          <w:color w:val="FF0000"/>
          <w:u w:val="single"/>
          <w:lang w:val="en-US"/>
        </w:rPr>
      </w:pPr>
    </w:p>
    <w:p w:rsidR="005D7FA2" w:rsidRDefault="005D7FA2" w:rsidP="005D7FA2">
      <w:pPr>
        <w:pStyle w:val="Heading1"/>
        <w:rPr>
          <w:lang w:val="en-US"/>
        </w:rPr>
      </w:pPr>
      <w:r>
        <w:rPr>
          <w:lang w:val="en-US"/>
        </w:rPr>
        <w:t>Annex B: TP to 36.213</w:t>
      </w:r>
    </w:p>
    <w:p w:rsidR="005D7FA2" w:rsidRPr="005D7FA2" w:rsidRDefault="005D7FA2" w:rsidP="005D7FA2">
      <w:pPr>
        <w:keepNext/>
        <w:keepLines/>
        <w:overflowPunct w:val="0"/>
        <w:autoSpaceDE w:val="0"/>
        <w:autoSpaceDN w:val="0"/>
        <w:adjustRightInd w:val="0"/>
        <w:spacing w:before="120"/>
        <w:ind w:left="1134" w:hanging="1134"/>
        <w:textAlignment w:val="baseline"/>
        <w:outlineLvl w:val="2"/>
        <w:rPr>
          <w:rFonts w:ascii="Arial" w:hAnsi="Arial"/>
          <w:color w:val="FF0000"/>
          <w:sz w:val="28"/>
          <w:u w:val="single"/>
          <w:lang w:eastAsia="en-GB"/>
        </w:rPr>
      </w:pPr>
      <w:bookmarkStart w:id="5" w:name="_Toc415085434"/>
      <w:r w:rsidRPr="005D7FA2">
        <w:rPr>
          <w:rFonts w:ascii="Arial" w:hAnsi="Arial" w:hint="eastAsia"/>
          <w:color w:val="FF0000"/>
          <w:sz w:val="28"/>
          <w:u w:val="single"/>
          <w:lang w:eastAsia="en-GB"/>
        </w:rPr>
        <w:t>5.1.</w:t>
      </w:r>
      <w:r w:rsidRPr="005D7FA2">
        <w:rPr>
          <w:rFonts w:ascii="Arial" w:hAnsi="Arial"/>
          <w:color w:val="FF0000"/>
          <w:sz w:val="28"/>
          <w:u w:val="single"/>
          <w:lang w:eastAsia="en-GB"/>
        </w:rPr>
        <w:t>6</w:t>
      </w:r>
      <w:r w:rsidRPr="005D7FA2">
        <w:rPr>
          <w:rFonts w:ascii="Arial" w:hAnsi="Arial" w:hint="eastAsia"/>
          <w:color w:val="FF0000"/>
          <w:sz w:val="28"/>
          <w:u w:val="single"/>
          <w:lang w:eastAsia="en-GB"/>
        </w:rPr>
        <w:tab/>
      </w:r>
      <w:r w:rsidRPr="005D7FA2">
        <w:rPr>
          <w:rFonts w:ascii="Arial" w:hAnsi="Arial"/>
          <w:color w:val="FF0000"/>
          <w:sz w:val="28"/>
          <w:u w:val="single"/>
          <w:lang w:eastAsia="en-GB"/>
        </w:rPr>
        <w:t>Power allocation for NR – E-UTRA dual connectivity</w:t>
      </w:r>
      <w:bookmarkEnd w:id="5"/>
    </w:p>
    <w:p w:rsidR="00E8293C" w:rsidRDefault="00E8293C" w:rsidP="00E8293C">
      <w:pPr>
        <w:rPr>
          <w:color w:val="FF0000"/>
          <w:u w:val="single"/>
        </w:rPr>
      </w:pPr>
      <w:r w:rsidRPr="0026637D">
        <w:rPr>
          <w:color w:val="FF0000"/>
          <w:u w:val="single"/>
        </w:rPr>
        <w:t xml:space="preserve">If a UE is configured with a MCG using </w:t>
      </w:r>
      <w:r>
        <w:rPr>
          <w:color w:val="FF0000"/>
          <w:u w:val="single"/>
        </w:rPr>
        <w:t>NR</w:t>
      </w:r>
      <w:r w:rsidRPr="0026637D">
        <w:rPr>
          <w:color w:val="FF0000"/>
          <w:u w:val="single"/>
        </w:rPr>
        <w:t xml:space="preserve"> radio access and with a SCG using </w:t>
      </w:r>
      <w:r>
        <w:rPr>
          <w:color w:val="FF0000"/>
          <w:u w:val="single"/>
        </w:rPr>
        <w:t>E-UTRA</w:t>
      </w:r>
      <w:r w:rsidRPr="0026637D">
        <w:rPr>
          <w:color w:val="FF0000"/>
          <w:u w:val="single"/>
          <w:lang w:eastAsia="ja-JP"/>
        </w:rPr>
        <w:t xml:space="preserve"> radio access, the UE is configured a maximum power </w:t>
      </w:r>
      <w:r w:rsidRPr="0026637D">
        <w:rPr>
          <w:color w:val="FF0000"/>
          <w:position w:val="-10"/>
          <w:u w:val="single"/>
        </w:rPr>
        <w:object w:dxaOrig="375" w:dyaOrig="300">
          <v:shape id="_x0000_i1053" type="#_x0000_t75" style="width:19pt;height:15pt" o:ole="">
            <v:imagedata r:id="rId17" o:title=""/>
          </v:shape>
          <o:OLEObject Type="Embed" ProgID="Equation.3" ShapeID="_x0000_i1053" DrawAspect="Content" ObjectID="_1599657319" r:id="rId55"/>
        </w:object>
      </w:r>
      <w:r w:rsidRPr="0026637D">
        <w:rPr>
          <w:color w:val="FF0000"/>
          <w:u w:val="single"/>
        </w:rPr>
        <w:t xml:space="preserve"> </w:t>
      </w:r>
      <w:r w:rsidRPr="0026637D">
        <w:rPr>
          <w:color w:val="FF0000"/>
          <w:u w:val="single"/>
          <w:lang w:eastAsia="ja-JP"/>
        </w:rPr>
        <w:t>for transmissio</w:t>
      </w:r>
      <w:r>
        <w:rPr>
          <w:color w:val="FF0000"/>
          <w:u w:val="single"/>
          <w:lang w:eastAsia="ja-JP"/>
        </w:rPr>
        <w:t>ns in frequency range 1 on the M</w:t>
      </w:r>
      <w:r w:rsidRPr="0026637D">
        <w:rPr>
          <w:color w:val="FF0000"/>
          <w:u w:val="single"/>
          <w:lang w:eastAsia="ja-JP"/>
        </w:rPr>
        <w:t xml:space="preserve">CG by higher layer parameter </w:t>
      </w:r>
      <w:r w:rsidRPr="0026637D">
        <w:rPr>
          <w:i/>
          <w:color w:val="FF0000"/>
          <w:u w:val="single"/>
          <w:lang w:eastAsia="ja-JP"/>
        </w:rPr>
        <w:t>p-NR</w:t>
      </w:r>
      <w:r>
        <w:rPr>
          <w:color w:val="FF0000"/>
          <w:u w:val="single"/>
          <w:lang w:eastAsia="ja-JP"/>
        </w:rPr>
        <w:t xml:space="preserve">, and </w:t>
      </w:r>
      <w:r w:rsidRPr="0026637D">
        <w:rPr>
          <w:color w:val="FF0000"/>
          <w:u w:val="single"/>
          <w:lang w:eastAsia="ja-JP"/>
        </w:rPr>
        <w:t xml:space="preserve">a maximum power </w:t>
      </w:r>
      <w:r w:rsidRPr="0026637D">
        <w:rPr>
          <w:color w:val="FF0000"/>
          <w:position w:val="-10"/>
          <w:u w:val="single"/>
        </w:rPr>
        <w:object w:dxaOrig="405" w:dyaOrig="300">
          <v:shape id="_x0000_i1054" type="#_x0000_t75" style="width:20.5pt;height:15pt" o:ole="">
            <v:imagedata r:id="rId15" o:title=""/>
          </v:shape>
          <o:OLEObject Type="Embed" ProgID="Equation.3" ShapeID="_x0000_i1054" DrawAspect="Content" ObjectID="_1599657320" r:id="rId56"/>
        </w:object>
      </w:r>
      <w:r>
        <w:rPr>
          <w:color w:val="FF0000"/>
          <w:u w:val="single"/>
          <w:lang w:eastAsia="ja-JP"/>
        </w:rPr>
        <w:t xml:space="preserve"> for transmissions on the S</w:t>
      </w:r>
      <w:r w:rsidRPr="0026637D">
        <w:rPr>
          <w:color w:val="FF0000"/>
          <w:u w:val="single"/>
          <w:lang w:eastAsia="ja-JP"/>
        </w:rPr>
        <w:t xml:space="preserve">CG by higher layer parameter </w:t>
      </w:r>
      <w:r w:rsidRPr="0026637D">
        <w:rPr>
          <w:i/>
          <w:color w:val="FF0000"/>
          <w:u w:val="single"/>
          <w:lang w:eastAsia="ja-JP"/>
        </w:rPr>
        <w:t>p-MaxEUTRA</w:t>
      </w:r>
      <w:r w:rsidRPr="0026637D">
        <w:rPr>
          <w:color w:val="FF0000"/>
          <w:u w:val="single"/>
          <w:lang w:val="en-US"/>
        </w:rPr>
        <w:t xml:space="preserve">. </w:t>
      </w:r>
      <w:r w:rsidRPr="005D7FA2">
        <w:rPr>
          <w:color w:val="FF0000"/>
          <w:u w:val="single"/>
          <w:lang w:val="en-US" w:eastAsia="zh-CN"/>
        </w:rPr>
        <w:t>T</w:t>
      </w:r>
      <w:r w:rsidRPr="005D7FA2">
        <w:rPr>
          <w:color w:val="FF0000"/>
          <w:u w:val="single"/>
        </w:rPr>
        <w:t>he UE determines a transmission power for the SCG</w:t>
      </w:r>
      <w:r>
        <w:rPr>
          <w:color w:val="FF0000"/>
          <w:u w:val="single"/>
        </w:rPr>
        <w:t xml:space="preserve"> as described in Subclause 5 </w:t>
      </w:r>
      <w:r w:rsidRPr="00792AD2">
        <w:rPr>
          <w:color w:val="FF0000"/>
          <w:u w:val="single"/>
          <w:lang w:val="en-US"/>
        </w:rPr>
        <w:t xml:space="preserve">using </w:t>
      </w:r>
      <w:r w:rsidRPr="00792AD2">
        <w:rPr>
          <w:color w:val="FF0000"/>
          <w:position w:val="-10"/>
          <w:u w:val="single"/>
        </w:rPr>
        <w:object w:dxaOrig="405" w:dyaOrig="300">
          <v:shape id="_x0000_i1055" type="#_x0000_t75" style="width:20.5pt;height:15pt" o:ole="">
            <v:imagedata r:id="rId15" o:title=""/>
          </v:shape>
          <o:OLEObject Type="Embed" ProgID="Equation.3" ShapeID="_x0000_i1055" DrawAspect="Content" ObjectID="_1599657321" r:id="rId57"/>
        </w:object>
      </w:r>
      <w:r w:rsidRPr="00792AD2">
        <w:rPr>
          <w:color w:val="FF0000"/>
          <w:u w:val="single"/>
          <w:lang w:val="en-US"/>
        </w:rPr>
        <w:t xml:space="preserve"> as the maximum transmission power</w:t>
      </w:r>
      <w:r w:rsidRPr="00792AD2">
        <w:rPr>
          <w:color w:val="FF0000"/>
          <w:u w:val="single"/>
        </w:rPr>
        <w:t xml:space="preserve"> for </w:t>
      </w:r>
      <w:r w:rsidR="00792AD2" w:rsidRPr="00792AD2">
        <w:rPr>
          <w:i/>
          <w:color w:val="FF0000"/>
          <w:u w:val="single"/>
        </w:rPr>
        <w:t>P</w:t>
      </w:r>
      <w:r w:rsidR="00792AD2" w:rsidRPr="00792AD2">
        <w:rPr>
          <w:i/>
          <w:color w:val="FF0000"/>
          <w:u w:val="single"/>
          <w:vertAlign w:val="subscript"/>
        </w:rPr>
        <w:t>CMAX</w:t>
      </w:r>
      <w:r w:rsidR="00792AD2" w:rsidRPr="00792AD2">
        <w:rPr>
          <w:i/>
          <w:color w:val="FF0000"/>
          <w:u w:val="single"/>
        </w:rPr>
        <w:t xml:space="preserve"> </w:t>
      </w:r>
      <w:r w:rsidR="00792AD2" w:rsidRPr="00792AD2">
        <w:rPr>
          <w:color w:val="FF0000"/>
          <w:u w:val="single"/>
        </w:rPr>
        <w:t xml:space="preserve">≤ </w:t>
      </w:r>
      <w:r w:rsidR="00792AD2" w:rsidRPr="00792AD2">
        <w:rPr>
          <w:i/>
          <w:color w:val="FF0000"/>
          <w:u w:val="single"/>
        </w:rPr>
        <w:t>P</w:t>
      </w:r>
      <w:r w:rsidR="00792AD2" w:rsidRPr="00792AD2">
        <w:rPr>
          <w:i/>
          <w:color w:val="FF0000"/>
          <w:u w:val="single"/>
          <w:vertAlign w:val="subscript"/>
        </w:rPr>
        <w:t>LTE</w:t>
      </w:r>
      <w:r w:rsidRPr="00792AD2">
        <w:rPr>
          <w:color w:val="FF0000"/>
          <w:u w:val="single"/>
        </w:rPr>
        <w:t>.</w:t>
      </w:r>
      <w:r w:rsidRPr="00792AD2">
        <w:rPr>
          <w:color w:val="FF0000"/>
          <w:u w:val="single"/>
          <w:lang w:val="en-US"/>
        </w:rPr>
        <w:t xml:space="preserve"> </w:t>
      </w:r>
      <w:r w:rsidRPr="0026637D">
        <w:rPr>
          <w:color w:val="FF0000"/>
          <w:u w:val="single"/>
          <w:lang w:val="en-US"/>
        </w:rPr>
        <w:t>The UE determines</w:t>
      </w:r>
      <w:r>
        <w:rPr>
          <w:color w:val="FF0000"/>
          <w:u w:val="single"/>
        </w:rPr>
        <w:t xml:space="preserve"> transmission power for the MCG</w:t>
      </w:r>
      <w:r w:rsidRPr="0026637D">
        <w:rPr>
          <w:color w:val="FF0000"/>
          <w:u w:val="single"/>
        </w:rPr>
        <w:t xml:space="preserve"> as described </w:t>
      </w:r>
      <w:r>
        <w:rPr>
          <w:color w:val="FF0000"/>
          <w:u w:val="single"/>
        </w:rPr>
        <w:t>in [</w:t>
      </w:r>
      <w:r w:rsidRPr="00792AD2">
        <w:rPr>
          <w:color w:val="FF0000"/>
          <w:highlight w:val="yellow"/>
          <w:u w:val="single"/>
        </w:rPr>
        <w:t>TS 38.214</w:t>
      </w:r>
      <w:r>
        <w:rPr>
          <w:color w:val="FF0000"/>
          <w:u w:val="single"/>
        </w:rPr>
        <w:t>].</w:t>
      </w:r>
    </w:p>
    <w:p w:rsidR="005532AF" w:rsidRPr="005532AF" w:rsidRDefault="005532AF" w:rsidP="005532AF">
      <w:pPr>
        <w:rPr>
          <w:color w:val="FF0000"/>
          <w:u w:val="single"/>
          <w:lang w:eastAsia="ja-JP"/>
        </w:rPr>
      </w:pPr>
      <w:r w:rsidRPr="005532AF">
        <w:rPr>
          <w:color w:val="FF0000"/>
          <w:u w:val="single"/>
          <w:lang w:eastAsia="ja-JP"/>
        </w:rPr>
        <w:t xml:space="preserve">If a UE is configured with </w:t>
      </w:r>
      <w:r w:rsidRPr="005532AF">
        <w:rPr>
          <w:color w:val="FF0000"/>
          <w:position w:val="-10"/>
          <w:u w:val="single"/>
        </w:rPr>
        <w:object w:dxaOrig="1620" w:dyaOrig="330">
          <v:shape id="_x0000_i1056" type="#_x0000_t75" style="width:81pt;height:16.5pt" o:ole="">
            <v:imagedata r:id="rId25" o:title=""/>
          </v:shape>
          <o:OLEObject Type="Embed" ProgID="Equation.3" ShapeID="_x0000_i1056" DrawAspect="Content" ObjectID="_1599657322" r:id="rId58"/>
        </w:object>
      </w:r>
      <w:r w:rsidRPr="005532AF">
        <w:rPr>
          <w:color w:val="FF0000"/>
          <w:u w:val="single"/>
        </w:rPr>
        <w:t xml:space="preserve">, where </w:t>
      </w:r>
      <w:r w:rsidRPr="005532AF">
        <w:rPr>
          <w:color w:val="FF0000"/>
          <w:position w:val="-10"/>
          <w:u w:val="single"/>
        </w:rPr>
        <w:object w:dxaOrig="405" w:dyaOrig="330">
          <v:shape id="_x0000_i1057" type="#_x0000_t75" style="width:20.5pt;height:16.5pt" o:ole="">
            <v:imagedata r:id="rId27" o:title=""/>
          </v:shape>
          <o:OLEObject Type="Embed" ProgID="Equation.3" ShapeID="_x0000_i1057" DrawAspect="Content" ObjectID="_1599657323" r:id="rId59"/>
        </w:object>
      </w:r>
      <w:r w:rsidRPr="005532AF">
        <w:rPr>
          <w:color w:val="FF0000"/>
          <w:u w:val="single"/>
          <w:lang w:eastAsia="zh-CN"/>
        </w:rPr>
        <w:t xml:space="preserve"> is the linear value</w:t>
      </w:r>
      <w:r w:rsidRPr="005532AF">
        <w:rPr>
          <w:color w:val="FF0000"/>
          <w:u w:val="single"/>
          <w:lang w:eastAsia="ja-JP"/>
        </w:rPr>
        <w:t xml:space="preserve"> of </w:t>
      </w:r>
      <w:r w:rsidRPr="005532AF">
        <w:rPr>
          <w:color w:val="FF0000"/>
          <w:position w:val="-10"/>
          <w:u w:val="single"/>
        </w:rPr>
        <w:object w:dxaOrig="405" w:dyaOrig="300">
          <v:shape id="_x0000_i1058" type="#_x0000_t75" style="width:20.5pt;height:15pt" o:ole="">
            <v:imagedata r:id="rId15" o:title=""/>
          </v:shape>
          <o:OLEObject Type="Embed" ProgID="Equation.3" ShapeID="_x0000_i1058" DrawAspect="Content" ObjectID="_1599657324" r:id="rId60"/>
        </w:object>
      </w:r>
      <w:r w:rsidRPr="005532AF">
        <w:rPr>
          <w:color w:val="FF0000"/>
          <w:u w:val="single"/>
        </w:rPr>
        <w:t xml:space="preserve">, </w:t>
      </w:r>
      <w:r w:rsidRPr="005532AF">
        <w:rPr>
          <w:color w:val="FF0000"/>
          <w:position w:val="-10"/>
          <w:u w:val="single"/>
        </w:rPr>
        <w:object w:dxaOrig="375" w:dyaOrig="330">
          <v:shape id="_x0000_i1059" type="#_x0000_t75" style="width:19pt;height:16.5pt" o:ole="">
            <v:imagedata r:id="rId30" o:title=""/>
          </v:shape>
          <o:OLEObject Type="Embed" ProgID="Equation.3" ShapeID="_x0000_i1059" DrawAspect="Content" ObjectID="_1599657325" r:id="rId61"/>
        </w:object>
      </w:r>
      <w:r w:rsidRPr="005532AF">
        <w:rPr>
          <w:color w:val="FF0000"/>
          <w:u w:val="single"/>
          <w:lang w:eastAsia="zh-CN"/>
        </w:rPr>
        <w:t xml:space="preserve"> is the linear value</w:t>
      </w:r>
      <w:r w:rsidRPr="005532AF">
        <w:rPr>
          <w:color w:val="FF0000"/>
          <w:u w:val="single"/>
          <w:lang w:eastAsia="ja-JP"/>
        </w:rPr>
        <w:t xml:space="preserve"> of </w:t>
      </w:r>
      <w:r w:rsidRPr="005532AF">
        <w:rPr>
          <w:color w:val="FF0000"/>
          <w:position w:val="-10"/>
          <w:u w:val="single"/>
        </w:rPr>
        <w:object w:dxaOrig="375" w:dyaOrig="300">
          <v:shape id="_x0000_i1060" type="#_x0000_t75" style="width:19pt;height:15pt" o:ole="">
            <v:imagedata r:id="rId17" o:title=""/>
          </v:shape>
          <o:OLEObject Type="Embed" ProgID="Equation.3" ShapeID="_x0000_i1060" DrawAspect="Content" ObjectID="_1599657326" r:id="rId62"/>
        </w:object>
      </w:r>
      <w:r w:rsidRPr="005532AF">
        <w:rPr>
          <w:color w:val="FF0000"/>
          <w:u w:val="single"/>
        </w:rPr>
        <w:t>, and</w:t>
      </w:r>
      <w:r w:rsidRPr="005532AF">
        <w:rPr>
          <w:color w:val="FF0000"/>
          <w:u w:val="single"/>
          <w:lang w:eastAsia="zh-CN"/>
        </w:rPr>
        <w:t xml:space="preserve"> </w:t>
      </w:r>
      <w:r w:rsidRPr="005532AF">
        <w:rPr>
          <w:color w:val="FF0000"/>
          <w:position w:val="-10"/>
          <w:u w:val="single"/>
        </w:rPr>
        <w:object w:dxaOrig="615" w:dyaOrig="330">
          <v:shape id="_x0000_i1061" type="#_x0000_t75" style="width:31pt;height:16.5pt" o:ole="">
            <v:imagedata r:id="rId33" o:title=""/>
          </v:shape>
          <o:OLEObject Type="Embed" ProgID="Equation.3" ShapeID="_x0000_i1061" DrawAspect="Content" ObjectID="_1599657327" r:id="rId63"/>
        </w:object>
      </w:r>
      <w:r w:rsidRPr="005532AF">
        <w:rPr>
          <w:color w:val="FF0000"/>
          <w:u w:val="single"/>
        </w:rPr>
        <w:t xml:space="preserve"> </w:t>
      </w:r>
      <w:r w:rsidRPr="005532AF">
        <w:rPr>
          <w:color w:val="FF0000"/>
          <w:u w:val="single"/>
          <w:lang w:eastAsia="zh-CN"/>
        </w:rPr>
        <w:t xml:space="preserve">is the linear value of </w:t>
      </w:r>
      <w:r w:rsidRPr="005532AF">
        <w:rPr>
          <w:color w:val="FF0000"/>
          <w:u w:val="single"/>
          <w:lang w:val="en-US" w:eastAsia="zh-CN"/>
        </w:rPr>
        <w:t>a</w:t>
      </w:r>
      <w:r w:rsidRPr="005532AF">
        <w:rPr>
          <w:color w:val="FF0000"/>
          <w:u w:val="single"/>
          <w:lang w:eastAsia="zh-CN"/>
        </w:rPr>
        <w:t xml:space="preserve"> </w:t>
      </w:r>
      <w:r w:rsidRPr="005532AF">
        <w:rPr>
          <w:color w:val="FF0000"/>
          <w:u w:val="single"/>
        </w:rPr>
        <w:t xml:space="preserve">configured </w:t>
      </w:r>
      <w:r w:rsidRPr="005532AF">
        <w:rPr>
          <w:color w:val="FF0000"/>
          <w:u w:val="single"/>
          <w:lang w:eastAsia="zh-CN"/>
        </w:rPr>
        <w:t xml:space="preserve">maximum </w:t>
      </w:r>
      <w:r w:rsidRPr="005532AF">
        <w:rPr>
          <w:color w:val="FF0000"/>
          <w:u w:val="single"/>
          <w:lang w:val="en-US" w:eastAsia="zh-CN"/>
        </w:rPr>
        <w:t>transmission</w:t>
      </w:r>
      <w:r w:rsidRPr="005532AF">
        <w:rPr>
          <w:color w:val="FF0000"/>
          <w:u w:val="single"/>
        </w:rPr>
        <w:t xml:space="preserve"> power </w:t>
      </w:r>
      <w:r>
        <w:rPr>
          <w:color w:val="FF0000"/>
          <w:u w:val="single"/>
          <w:lang w:val="en-US"/>
        </w:rPr>
        <w:t xml:space="preserve">for </w:t>
      </w:r>
      <w:r w:rsidRPr="005532AF">
        <w:rPr>
          <w:color w:val="FF0000"/>
          <w:u w:val="single"/>
          <w:lang w:val="en-US"/>
        </w:rPr>
        <w:t>N</w:t>
      </w:r>
      <w:r>
        <w:rPr>
          <w:color w:val="FF0000"/>
          <w:u w:val="single"/>
          <w:lang w:val="en-US"/>
        </w:rPr>
        <w:t>E</w:t>
      </w:r>
      <w:r w:rsidRPr="005532AF">
        <w:rPr>
          <w:color w:val="FF0000"/>
          <w:u w:val="single"/>
          <w:lang w:val="en-US"/>
        </w:rPr>
        <w:t xml:space="preserve">-DC operation </w:t>
      </w:r>
      <w:r w:rsidRPr="005532AF">
        <w:rPr>
          <w:color w:val="FF0000"/>
          <w:u w:val="single"/>
        </w:rPr>
        <w:t xml:space="preserve">as </w:t>
      </w:r>
      <w:r w:rsidRPr="005532AF">
        <w:rPr>
          <w:iCs/>
          <w:color w:val="FF0000"/>
          <w:u w:val="single"/>
        </w:rPr>
        <w:t xml:space="preserve">defined in </w:t>
      </w:r>
      <w:r>
        <w:rPr>
          <w:color w:val="FF0000"/>
          <w:u w:val="single"/>
        </w:rPr>
        <w:t>[</w:t>
      </w:r>
      <w:r w:rsidRPr="005532AF">
        <w:rPr>
          <w:color w:val="FF0000"/>
          <w:highlight w:val="yellow"/>
          <w:u w:val="single"/>
        </w:rPr>
        <w:t>TS 38.101-3</w:t>
      </w:r>
      <w:r w:rsidRPr="005532AF">
        <w:rPr>
          <w:color w:val="FF0000"/>
          <w:u w:val="single"/>
        </w:rPr>
        <w:t xml:space="preserve">] for frequency range 1, </w:t>
      </w:r>
      <w:r w:rsidRPr="005532AF">
        <w:rPr>
          <w:color w:val="FF0000"/>
          <w:u w:val="single"/>
          <w:lang w:eastAsia="ja-JP"/>
        </w:rPr>
        <w:t>the UE determines a transmission power on the SCG as follows.</w:t>
      </w:r>
    </w:p>
    <w:p w:rsidR="005D7FA2" w:rsidRPr="005D7FA2" w:rsidRDefault="005D7FA2" w:rsidP="005D7FA2">
      <w:pPr>
        <w:ind w:left="284" w:hanging="284"/>
        <w:rPr>
          <w:rFonts w:eastAsia="MS Mincho"/>
          <w:color w:val="FF0000"/>
          <w:u w:val="single"/>
          <w:lang w:val="en-US"/>
        </w:rPr>
      </w:pPr>
      <w:r w:rsidRPr="005D7FA2">
        <w:rPr>
          <w:rFonts w:eastAsia="MS Mincho"/>
          <w:color w:val="FF0000"/>
          <w:u w:val="single"/>
          <w:lang w:val="en-US"/>
        </w:rPr>
        <w:t>-</w:t>
      </w:r>
      <w:r w:rsidRPr="005D7FA2">
        <w:rPr>
          <w:rFonts w:eastAsia="MS Mincho"/>
          <w:color w:val="FF0000"/>
          <w:u w:val="single"/>
          <w:lang w:val="en-US"/>
        </w:rPr>
        <w:tab/>
        <w:t xml:space="preserve">if the UE transmission(s) in subframe </w:t>
      </w:r>
      <w:r w:rsidRPr="005D7FA2">
        <w:rPr>
          <w:color w:val="FF0000"/>
          <w:position w:val="-10"/>
          <w:u w:val="single"/>
          <w:lang w:val="x-none"/>
        </w:rPr>
        <w:object w:dxaOrig="165" w:dyaOrig="300">
          <v:shape id="_x0000_i1062" type="#_x0000_t75" style="width:8.5pt;height:15pt" o:ole="">
            <v:imagedata r:id="rId35" o:title=""/>
          </v:shape>
          <o:OLEObject Type="Embed" ProgID="Equation.3" ShapeID="_x0000_i1062" DrawAspect="Content" ObjectID="_1599657328" r:id="rId64"/>
        </w:object>
      </w:r>
      <w:r w:rsidRPr="005D7FA2">
        <w:rPr>
          <w:rFonts w:eastAsia="MS Mincho"/>
          <w:color w:val="FF0000"/>
          <w:u w:val="single"/>
          <w:lang w:val="x-none" w:eastAsia="zh-CN"/>
        </w:rPr>
        <w:t xml:space="preserve"> </w:t>
      </w:r>
      <w:r w:rsidRPr="005D7FA2">
        <w:rPr>
          <w:rFonts w:eastAsia="MS Mincho"/>
          <w:color w:val="FF0000"/>
          <w:u w:val="single"/>
          <w:lang w:val="en-US" w:eastAsia="zh-CN"/>
        </w:rPr>
        <w:t>of the MCG</w:t>
      </w:r>
      <w:r>
        <w:rPr>
          <w:rFonts w:eastAsia="MS Mincho"/>
          <w:color w:val="FF0000"/>
          <w:u w:val="single"/>
          <w:lang w:val="en-US" w:eastAsia="zh-CN"/>
        </w:rPr>
        <w:t xml:space="preserve"> </w:t>
      </w:r>
      <w:r w:rsidRPr="005D7FA2">
        <w:rPr>
          <w:rFonts w:eastAsia="MS Mincho"/>
          <w:color w:val="FF0000"/>
          <w:u w:val="single"/>
          <w:lang w:val="en-US" w:eastAsia="zh-CN"/>
        </w:rPr>
        <w:t xml:space="preserve">overlap in time with UE transmission(s) in slot </w:t>
      </w:r>
      <w:r w:rsidRPr="005D7FA2">
        <w:rPr>
          <w:color w:val="FF0000"/>
          <w:position w:val="-10"/>
          <w:u w:val="single"/>
          <w:lang w:val="x-none"/>
        </w:rPr>
        <w:object w:dxaOrig="195" w:dyaOrig="300">
          <v:shape id="_x0000_i1063" type="#_x0000_t75" style="width:10pt;height:15pt" o:ole="">
            <v:imagedata r:id="rId37" o:title=""/>
          </v:shape>
          <o:OLEObject Type="Embed" ProgID="Equation.3" ShapeID="_x0000_i1063" DrawAspect="Content" ObjectID="_1599657329" r:id="rId65"/>
        </w:object>
      </w:r>
      <w:r>
        <w:rPr>
          <w:rFonts w:eastAsia="MS Mincho"/>
          <w:color w:val="FF0000"/>
          <w:u w:val="single"/>
          <w:lang w:val="en-US"/>
        </w:rPr>
        <w:t xml:space="preserve"> of the SCG</w:t>
      </w:r>
      <w:r w:rsidRPr="005D7FA2">
        <w:rPr>
          <w:rFonts w:eastAsia="MS Mincho"/>
          <w:color w:val="FF0000"/>
          <w:u w:val="single"/>
          <w:lang w:val="en-US"/>
        </w:rPr>
        <w:t>, and</w:t>
      </w:r>
    </w:p>
    <w:p w:rsidR="005D7FA2" w:rsidRPr="005D7FA2" w:rsidRDefault="005D7FA2" w:rsidP="005D7FA2">
      <w:pPr>
        <w:ind w:left="284" w:hanging="284"/>
        <w:rPr>
          <w:rFonts w:eastAsia="MS Mincho"/>
          <w:color w:val="FF0000"/>
          <w:u w:val="single"/>
          <w:lang w:val="en-US"/>
        </w:rPr>
      </w:pPr>
      <w:r w:rsidRPr="005D7FA2">
        <w:rPr>
          <w:rFonts w:eastAsia="MS Mincho"/>
          <w:color w:val="FF0000"/>
          <w:u w:val="single"/>
          <w:lang w:val="en-US"/>
        </w:rPr>
        <w:t>-</w:t>
      </w:r>
      <w:r w:rsidRPr="005D7FA2">
        <w:rPr>
          <w:rFonts w:eastAsia="MS Mincho"/>
          <w:color w:val="FF0000"/>
          <w:u w:val="single"/>
          <w:lang w:val="en-US"/>
        </w:rPr>
        <w:tab/>
        <w:t xml:space="preserve">if </w:t>
      </w:r>
      <w:r w:rsidRPr="005D7FA2">
        <w:rPr>
          <w:color w:val="FF0000"/>
          <w:position w:val="-10"/>
          <w:u w:val="single"/>
          <w:lang w:val="x-none"/>
        </w:rPr>
        <w:object w:dxaOrig="2235" w:dyaOrig="330">
          <v:shape id="_x0000_i1064" type="#_x0000_t75" style="width:112pt;height:16.5pt" o:ole="">
            <v:imagedata r:id="rId39" o:title=""/>
          </v:shape>
          <o:OLEObject Type="Embed" ProgID="Equation.3" ShapeID="_x0000_i1064" DrawAspect="Content" ObjectID="_1599657330" r:id="rId66"/>
        </w:object>
      </w:r>
      <w:r w:rsidRPr="005D7FA2">
        <w:rPr>
          <w:rFonts w:eastAsia="MS Mincho"/>
          <w:color w:val="FF0000"/>
          <w:u w:val="single"/>
          <w:lang w:val="en-US"/>
        </w:rPr>
        <w:t xml:space="preserve"> in any portion of </w:t>
      </w:r>
      <w:r w:rsidRPr="005D7FA2">
        <w:rPr>
          <w:rFonts w:eastAsia="MS Mincho"/>
          <w:color w:val="FF0000"/>
          <w:u w:val="single"/>
          <w:lang w:val="en-US" w:eastAsia="zh-CN"/>
        </w:rPr>
        <w:t xml:space="preserve">slot </w:t>
      </w:r>
      <w:r w:rsidRPr="005D7FA2">
        <w:rPr>
          <w:color w:val="FF0000"/>
          <w:position w:val="-10"/>
          <w:u w:val="single"/>
          <w:lang w:val="x-none"/>
        </w:rPr>
        <w:object w:dxaOrig="195" w:dyaOrig="300">
          <v:shape id="_x0000_i1065" type="#_x0000_t75" style="width:10pt;height:15pt" o:ole="">
            <v:imagedata r:id="rId37" o:title=""/>
          </v:shape>
          <o:OLEObject Type="Embed" ProgID="Equation.3" ShapeID="_x0000_i1065" DrawAspect="Content" ObjectID="_1599657331" r:id="rId67"/>
        </w:object>
      </w:r>
      <w:r w:rsidRPr="005D7FA2">
        <w:rPr>
          <w:rFonts w:eastAsia="MS Mincho"/>
          <w:color w:val="FF0000"/>
          <w:u w:val="single"/>
          <w:lang w:val="en-US"/>
        </w:rPr>
        <w:t xml:space="preserve"> of the SCG</w:t>
      </w:r>
      <w:r w:rsidRPr="005D7FA2">
        <w:rPr>
          <w:rFonts w:eastAsia="MS Mincho"/>
          <w:color w:val="FF0000"/>
          <w:u w:val="single"/>
          <w:lang w:val="x-none" w:eastAsia="zh-CN"/>
        </w:rPr>
        <w:t xml:space="preserve">, </w:t>
      </w:r>
    </w:p>
    <w:p w:rsidR="005D7FA2" w:rsidRDefault="005D7FA2" w:rsidP="00E8293C">
      <w:pPr>
        <w:ind w:left="284" w:hanging="284"/>
        <w:rPr>
          <w:rFonts w:eastAsia="MS Mincho"/>
          <w:color w:val="FF0000"/>
          <w:u w:val="single"/>
          <w:lang w:val="x-none"/>
        </w:rPr>
      </w:pPr>
      <w:r w:rsidRPr="005D7FA2">
        <w:rPr>
          <w:rFonts w:eastAsia="MS Mincho"/>
          <w:color w:val="FF0000"/>
          <w:u w:val="single"/>
          <w:lang w:val="x-none"/>
        </w:rPr>
        <w:tab/>
        <w:t xml:space="preserve">the UE </w:t>
      </w:r>
      <w:r w:rsidRPr="005D7FA2">
        <w:rPr>
          <w:rFonts w:eastAsia="MS Mincho"/>
          <w:color w:val="FF0000"/>
          <w:u w:val="single"/>
          <w:lang w:val="x-none" w:eastAsia="zh-CN"/>
        </w:rPr>
        <w:t xml:space="preserve">reduces </w:t>
      </w:r>
      <w:r w:rsidRPr="005D7FA2">
        <w:rPr>
          <w:rFonts w:eastAsia="MS Mincho"/>
          <w:color w:val="FF0000"/>
          <w:u w:val="single"/>
          <w:lang w:val="en-US" w:eastAsia="zh-CN"/>
        </w:rPr>
        <w:t>transmission power</w:t>
      </w:r>
      <w:r w:rsidRPr="005D7FA2">
        <w:rPr>
          <w:rFonts w:eastAsia="MS Mincho"/>
          <w:color w:val="FF0000"/>
          <w:u w:val="single"/>
          <w:lang w:val="x-none"/>
        </w:rPr>
        <w:t xml:space="preserve"> </w:t>
      </w:r>
      <w:r w:rsidRPr="005D7FA2">
        <w:rPr>
          <w:rFonts w:eastAsia="MS Mincho"/>
          <w:color w:val="FF0000"/>
          <w:u w:val="single"/>
          <w:lang w:val="en-US" w:eastAsia="zh-CN"/>
        </w:rPr>
        <w:t xml:space="preserve">in any </w:t>
      </w:r>
      <w:r w:rsidRPr="005D7FA2">
        <w:rPr>
          <w:rFonts w:eastAsia="MS Mincho"/>
          <w:color w:val="FF0000"/>
          <w:u w:val="single"/>
          <w:lang w:val="en-US"/>
        </w:rPr>
        <w:t xml:space="preserve">portion of </w:t>
      </w:r>
      <w:r w:rsidRPr="005D7FA2">
        <w:rPr>
          <w:rFonts w:eastAsia="MS Mincho"/>
          <w:color w:val="FF0000"/>
          <w:u w:val="single"/>
          <w:lang w:val="en-US" w:eastAsia="zh-CN"/>
        </w:rPr>
        <w:t xml:space="preserve">slot </w:t>
      </w:r>
      <w:r w:rsidRPr="005D7FA2">
        <w:rPr>
          <w:color w:val="FF0000"/>
          <w:position w:val="-10"/>
          <w:u w:val="single"/>
          <w:lang w:val="x-none"/>
        </w:rPr>
        <w:object w:dxaOrig="195" w:dyaOrig="300">
          <v:shape id="_x0000_i1066" type="#_x0000_t75" style="width:10pt;height:15pt" o:ole="">
            <v:imagedata r:id="rId37" o:title=""/>
          </v:shape>
          <o:OLEObject Type="Embed" ProgID="Equation.3" ShapeID="_x0000_i1066" DrawAspect="Content" ObjectID="_1599657332" r:id="rId68"/>
        </w:object>
      </w:r>
      <w:r w:rsidRPr="005D7FA2">
        <w:rPr>
          <w:rFonts w:eastAsia="MS Mincho"/>
          <w:color w:val="FF0000"/>
          <w:u w:val="single"/>
          <w:lang w:val="en-US"/>
        </w:rPr>
        <w:t xml:space="preserve"> </w:t>
      </w:r>
      <w:r w:rsidRPr="005D7FA2">
        <w:rPr>
          <w:rFonts w:eastAsia="MS Mincho"/>
          <w:color w:val="FF0000"/>
          <w:u w:val="single"/>
          <w:lang w:val="x-none" w:eastAsia="zh-CN"/>
        </w:rPr>
        <w:t>o</w:t>
      </w:r>
      <w:r w:rsidRPr="005D7FA2">
        <w:rPr>
          <w:rFonts w:eastAsia="MS Mincho"/>
          <w:color w:val="FF0000"/>
          <w:u w:val="single"/>
          <w:lang w:val="en-US" w:eastAsia="zh-CN"/>
        </w:rPr>
        <w:t>f</w:t>
      </w:r>
      <w:r w:rsidRPr="005D7FA2">
        <w:rPr>
          <w:rFonts w:eastAsia="MS Mincho"/>
          <w:color w:val="FF0000"/>
          <w:u w:val="single"/>
          <w:lang w:val="x-none" w:eastAsia="zh-CN"/>
        </w:rPr>
        <w:t xml:space="preserve"> the SCG so that </w:t>
      </w:r>
      <w:r w:rsidRPr="005D7FA2">
        <w:rPr>
          <w:color w:val="FF0000"/>
          <w:position w:val="-10"/>
          <w:u w:val="single"/>
          <w:lang w:val="x-none"/>
        </w:rPr>
        <w:object w:dxaOrig="2205" w:dyaOrig="330">
          <v:shape id="_x0000_i1067" type="#_x0000_t75" style="width:110.5pt;height:16.5pt" o:ole="">
            <v:imagedata r:id="rId43" o:title=""/>
          </v:shape>
          <o:OLEObject Type="Embed" ProgID="Equation.3" ShapeID="_x0000_i1067" DrawAspect="Content" ObjectID="_1599657333" r:id="rId69"/>
        </w:object>
      </w:r>
      <w:r w:rsidRPr="005D7FA2">
        <w:rPr>
          <w:rFonts w:eastAsia="MS Mincho"/>
          <w:color w:val="FF0000"/>
          <w:u w:val="single"/>
          <w:lang w:val="en-US"/>
        </w:rPr>
        <w:t xml:space="preserve"> in any portion of </w:t>
      </w:r>
      <w:r w:rsidRPr="005D7FA2">
        <w:rPr>
          <w:rFonts w:eastAsia="MS Mincho"/>
          <w:color w:val="FF0000"/>
          <w:u w:val="single"/>
          <w:lang w:val="en-US" w:eastAsia="zh-CN"/>
        </w:rPr>
        <w:t xml:space="preserve">slot </w:t>
      </w:r>
      <w:r w:rsidRPr="005D7FA2">
        <w:rPr>
          <w:color w:val="FF0000"/>
          <w:position w:val="-10"/>
          <w:u w:val="single"/>
          <w:lang w:val="x-none"/>
        </w:rPr>
        <w:object w:dxaOrig="195" w:dyaOrig="300">
          <v:shape id="_x0000_i1068" type="#_x0000_t75" style="width:10pt;height:15pt" o:ole="">
            <v:imagedata r:id="rId37" o:title=""/>
          </v:shape>
          <o:OLEObject Type="Embed" ProgID="Equation.3" ShapeID="_x0000_i1068" DrawAspect="Content" ObjectID="_1599657334" r:id="rId70"/>
        </w:object>
      </w:r>
      <w:r w:rsidRPr="005D7FA2">
        <w:rPr>
          <w:rFonts w:eastAsia="MS Mincho"/>
          <w:color w:val="FF0000"/>
          <w:u w:val="single"/>
          <w:lang w:val="en-US"/>
        </w:rPr>
        <w:t>,</w:t>
      </w:r>
      <w:r w:rsidRPr="005D7FA2">
        <w:rPr>
          <w:rFonts w:eastAsia="MS Mincho"/>
          <w:color w:val="FF0000"/>
          <w:u w:val="single"/>
          <w:lang w:val="x-none" w:eastAsia="zh-CN"/>
        </w:rPr>
        <w:t xml:space="preserve"> where </w:t>
      </w:r>
      <w:r w:rsidRPr="005D7FA2">
        <w:rPr>
          <w:color w:val="FF0000"/>
          <w:position w:val="-10"/>
          <w:u w:val="single"/>
          <w:lang w:val="x-none"/>
        </w:rPr>
        <w:object w:dxaOrig="705" w:dyaOrig="330">
          <v:shape id="_x0000_i1069" type="#_x0000_t75" style="width:35.5pt;height:16.5pt" o:ole="">
            <v:imagedata r:id="rId46" o:title=""/>
          </v:shape>
          <o:OLEObject Type="Embed" ProgID="Equation.3" ShapeID="_x0000_i1069" DrawAspect="Content" ObjectID="_1599657335" r:id="rId71"/>
        </w:object>
      </w:r>
      <w:r w:rsidRPr="005D7FA2">
        <w:rPr>
          <w:rFonts w:eastAsia="MS Mincho"/>
          <w:color w:val="FF0000"/>
          <w:u w:val="single"/>
          <w:lang w:val="x-none"/>
        </w:rPr>
        <w:t xml:space="preserve"> and </w:t>
      </w:r>
      <w:r w:rsidRPr="005D7FA2">
        <w:rPr>
          <w:color w:val="FF0000"/>
          <w:position w:val="-10"/>
          <w:u w:val="single"/>
          <w:lang w:val="x-none"/>
        </w:rPr>
        <w:object w:dxaOrig="690" w:dyaOrig="330">
          <v:shape id="_x0000_i1070" type="#_x0000_t75" style="width:34.5pt;height:16.5pt" o:ole="">
            <v:imagedata r:id="rId48" o:title=""/>
          </v:shape>
          <o:OLEObject Type="Embed" ProgID="Equation.3" ShapeID="_x0000_i1070" DrawAspect="Content" ObjectID="_1599657336" r:id="rId72"/>
        </w:object>
      </w:r>
      <w:r w:rsidRPr="005D7FA2">
        <w:rPr>
          <w:rFonts w:eastAsia="MS Mincho"/>
          <w:color w:val="FF0000"/>
          <w:u w:val="single"/>
          <w:lang w:val="x-none"/>
        </w:rPr>
        <w:t xml:space="preserve"> </w:t>
      </w:r>
      <w:r w:rsidRPr="005D7FA2">
        <w:rPr>
          <w:rFonts w:eastAsia="MS Mincho"/>
          <w:color w:val="FF0000"/>
          <w:u w:val="single"/>
          <w:lang w:val="en-US"/>
        </w:rPr>
        <w:t xml:space="preserve">are </w:t>
      </w:r>
      <w:r w:rsidRPr="005D7FA2">
        <w:rPr>
          <w:rFonts w:eastAsia="MS Mincho"/>
          <w:color w:val="FF0000"/>
          <w:u w:val="single"/>
          <w:lang w:val="x-none"/>
        </w:rPr>
        <w:t xml:space="preserve">the linear values of the </w:t>
      </w:r>
      <w:r w:rsidRPr="005D7FA2">
        <w:rPr>
          <w:rFonts w:eastAsia="MS Mincho"/>
          <w:color w:val="FF0000"/>
          <w:u w:val="single"/>
          <w:lang w:val="en-US"/>
        </w:rPr>
        <w:t xml:space="preserve">total </w:t>
      </w:r>
      <w:r w:rsidRPr="005D7FA2">
        <w:rPr>
          <w:rFonts w:eastAsia="MS Mincho"/>
          <w:color w:val="FF0000"/>
          <w:u w:val="single"/>
          <w:lang w:val="x-none"/>
        </w:rPr>
        <w:t>UE transmi</w:t>
      </w:r>
      <w:r w:rsidRPr="005D7FA2">
        <w:rPr>
          <w:rFonts w:eastAsia="MS Mincho"/>
          <w:color w:val="FF0000"/>
          <w:u w:val="single"/>
          <w:lang w:val="en-US"/>
        </w:rPr>
        <w:t>ssion</w:t>
      </w:r>
      <w:r w:rsidRPr="005D7FA2">
        <w:rPr>
          <w:rFonts w:eastAsia="MS Mincho"/>
          <w:color w:val="FF0000"/>
          <w:u w:val="single"/>
          <w:lang w:val="x-none"/>
        </w:rPr>
        <w:t xml:space="preserve"> power</w:t>
      </w:r>
      <w:r w:rsidRPr="005D7FA2">
        <w:rPr>
          <w:rFonts w:eastAsia="MS Mincho"/>
          <w:color w:val="FF0000"/>
          <w:u w:val="single"/>
          <w:lang w:val="x-none" w:eastAsia="zh-CN"/>
        </w:rPr>
        <w:t>s</w:t>
      </w:r>
      <w:r w:rsidRPr="005D7FA2">
        <w:rPr>
          <w:rFonts w:eastAsia="MS Mincho"/>
          <w:color w:val="FF0000"/>
          <w:u w:val="single"/>
          <w:lang w:val="x-none"/>
        </w:rPr>
        <w:t xml:space="preserve"> </w:t>
      </w:r>
      <w:r w:rsidRPr="005D7FA2">
        <w:rPr>
          <w:rFonts w:eastAsia="MS Mincho"/>
          <w:color w:val="FF0000"/>
          <w:u w:val="single"/>
          <w:lang w:val="en-US"/>
        </w:rPr>
        <w:t>in</w:t>
      </w:r>
      <w:r w:rsidRPr="005D7FA2">
        <w:rPr>
          <w:rFonts w:eastAsia="MS Mincho"/>
          <w:color w:val="FF0000"/>
          <w:u w:val="single"/>
          <w:lang w:val="x-none" w:eastAsia="zh-CN"/>
        </w:rPr>
        <w:t xml:space="preserve"> subframe </w:t>
      </w:r>
      <w:r w:rsidRPr="005D7FA2">
        <w:rPr>
          <w:color w:val="FF0000"/>
          <w:position w:val="-10"/>
          <w:u w:val="single"/>
          <w:lang w:val="x-none"/>
        </w:rPr>
        <w:object w:dxaOrig="165" w:dyaOrig="300">
          <v:shape id="_x0000_i1071" type="#_x0000_t75" style="width:8.5pt;height:15pt" o:ole="">
            <v:imagedata r:id="rId35" o:title=""/>
          </v:shape>
          <o:OLEObject Type="Embed" ProgID="Equation.3" ShapeID="_x0000_i1071" DrawAspect="Content" ObjectID="_1599657337" r:id="rId73"/>
        </w:object>
      </w:r>
      <w:r w:rsidRPr="005D7FA2">
        <w:rPr>
          <w:rFonts w:eastAsia="MS Mincho"/>
          <w:color w:val="FF0000"/>
          <w:u w:val="single"/>
          <w:lang w:val="x-none" w:eastAsia="zh-CN"/>
        </w:rPr>
        <w:t xml:space="preserve"> </w:t>
      </w:r>
      <w:r w:rsidRPr="005D7FA2">
        <w:rPr>
          <w:rFonts w:eastAsia="MS Mincho"/>
          <w:color w:val="FF0000"/>
          <w:u w:val="single"/>
          <w:lang w:val="en-US" w:eastAsia="zh-CN"/>
        </w:rPr>
        <w:t xml:space="preserve">of the MCG </w:t>
      </w:r>
      <w:r w:rsidRPr="005D7FA2">
        <w:rPr>
          <w:rFonts w:eastAsia="MS Mincho"/>
          <w:color w:val="FF0000"/>
          <w:u w:val="single"/>
          <w:lang w:val="x-none"/>
        </w:rPr>
        <w:t xml:space="preserve">and </w:t>
      </w:r>
      <w:r w:rsidRPr="005D7FA2">
        <w:rPr>
          <w:rFonts w:eastAsia="MS Mincho"/>
          <w:color w:val="FF0000"/>
          <w:u w:val="single"/>
          <w:lang w:val="en-US"/>
        </w:rPr>
        <w:t>in</w:t>
      </w:r>
      <w:r w:rsidRPr="005D7FA2">
        <w:rPr>
          <w:rFonts w:eastAsia="MS Mincho"/>
          <w:color w:val="FF0000"/>
          <w:u w:val="single"/>
          <w:lang w:val="x-none" w:eastAsia="zh-CN"/>
        </w:rPr>
        <w:t xml:space="preserve"> slot </w:t>
      </w:r>
      <w:r w:rsidRPr="005D7FA2">
        <w:rPr>
          <w:color w:val="FF0000"/>
          <w:position w:val="-10"/>
          <w:u w:val="single"/>
          <w:lang w:val="x-none"/>
        </w:rPr>
        <w:object w:dxaOrig="195" w:dyaOrig="300">
          <v:shape id="_x0000_i1072" type="#_x0000_t75" style="width:10pt;height:15pt" o:ole="">
            <v:imagedata r:id="rId37" o:title=""/>
          </v:shape>
          <o:OLEObject Type="Embed" ProgID="Equation.3" ShapeID="_x0000_i1072" DrawAspect="Content" ObjectID="_1599657338" r:id="rId74"/>
        </w:object>
      </w:r>
      <w:r>
        <w:rPr>
          <w:rFonts w:eastAsia="MS Mincho"/>
          <w:color w:val="FF0000"/>
          <w:u w:val="single"/>
          <w:lang w:val="en-US"/>
        </w:rPr>
        <w:t xml:space="preserve"> of the SCG</w:t>
      </w:r>
      <w:r w:rsidRPr="005D7FA2">
        <w:rPr>
          <w:rFonts w:eastAsia="MS Mincho"/>
          <w:color w:val="FF0000"/>
          <w:u w:val="single"/>
          <w:lang w:val="x-none"/>
        </w:rPr>
        <w:t>, respectively.</w:t>
      </w:r>
    </w:p>
    <w:p w:rsidR="00E8293C" w:rsidRPr="00E8293C" w:rsidRDefault="00E8293C" w:rsidP="00C9657D">
      <w:pPr>
        <w:rPr>
          <w:rFonts w:eastAsia="MS Mincho"/>
          <w:color w:val="FF0000"/>
          <w:u w:val="single"/>
          <w:lang w:val="x-none"/>
        </w:rPr>
      </w:pPr>
      <w:bookmarkStart w:id="6" w:name="_GoBack"/>
      <w:bookmarkEnd w:id="6"/>
    </w:p>
    <w:sectPr w:rsidR="00E8293C" w:rsidRPr="00E8293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5067" w:rsidRDefault="00455067" w:rsidP="00ED16D3">
      <w:pPr>
        <w:spacing w:after="0"/>
      </w:pPr>
      <w:r>
        <w:separator/>
      </w:r>
    </w:p>
  </w:endnote>
  <w:endnote w:type="continuationSeparator" w:id="0">
    <w:p w:rsidR="00455067" w:rsidRDefault="00455067" w:rsidP="00ED1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5067" w:rsidRDefault="00455067" w:rsidP="00ED16D3">
      <w:pPr>
        <w:spacing w:after="0"/>
      </w:pPr>
      <w:r>
        <w:separator/>
      </w:r>
    </w:p>
  </w:footnote>
  <w:footnote w:type="continuationSeparator" w:id="0">
    <w:p w:rsidR="00455067" w:rsidRDefault="00455067" w:rsidP="00ED16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E54DC"/>
    <w:multiLevelType w:val="hybridMultilevel"/>
    <w:tmpl w:val="896EAEC8"/>
    <w:lvl w:ilvl="0" w:tplc="CABAC5F2">
      <w:start w:val="1"/>
      <w:numFmt w:val="bullet"/>
      <w:lvlText w:val=""/>
      <w:lvlJc w:val="left"/>
      <w:pPr>
        <w:tabs>
          <w:tab w:val="num" w:pos="720"/>
        </w:tabs>
        <w:ind w:left="720" w:hanging="360"/>
      </w:pPr>
      <w:rPr>
        <w:rFonts w:ascii="Symbol" w:hAnsi="Symbol" w:hint="default"/>
      </w:rPr>
    </w:lvl>
    <w:lvl w:ilvl="1" w:tplc="6DAE2712">
      <w:numFmt w:val="bullet"/>
      <w:lvlText w:val="•"/>
      <w:lvlJc w:val="left"/>
      <w:pPr>
        <w:tabs>
          <w:tab w:val="num" w:pos="1440"/>
        </w:tabs>
        <w:ind w:left="1440" w:hanging="360"/>
      </w:pPr>
      <w:rPr>
        <w:rFonts w:ascii="Arial" w:hAnsi="Arial" w:cs="Times New Roman" w:hint="default"/>
      </w:rPr>
    </w:lvl>
    <w:lvl w:ilvl="2" w:tplc="2E34DFB0">
      <w:start w:val="1"/>
      <w:numFmt w:val="bullet"/>
      <w:lvlText w:val=""/>
      <w:lvlJc w:val="left"/>
      <w:pPr>
        <w:tabs>
          <w:tab w:val="num" w:pos="2160"/>
        </w:tabs>
        <w:ind w:left="2160" w:hanging="360"/>
      </w:pPr>
      <w:rPr>
        <w:rFonts w:ascii="Symbol" w:hAnsi="Symbol" w:hint="default"/>
      </w:rPr>
    </w:lvl>
    <w:lvl w:ilvl="3" w:tplc="E104DBE0">
      <w:start w:val="1"/>
      <w:numFmt w:val="bullet"/>
      <w:lvlText w:val=""/>
      <w:lvlJc w:val="left"/>
      <w:pPr>
        <w:tabs>
          <w:tab w:val="num" w:pos="2880"/>
        </w:tabs>
        <w:ind w:left="2880" w:hanging="360"/>
      </w:pPr>
      <w:rPr>
        <w:rFonts w:ascii="Symbol" w:hAnsi="Symbol" w:hint="default"/>
      </w:rPr>
    </w:lvl>
    <w:lvl w:ilvl="4" w:tplc="D1E018BA">
      <w:start w:val="1"/>
      <w:numFmt w:val="bullet"/>
      <w:lvlText w:val=""/>
      <w:lvlJc w:val="left"/>
      <w:pPr>
        <w:tabs>
          <w:tab w:val="num" w:pos="3600"/>
        </w:tabs>
        <w:ind w:left="3600" w:hanging="360"/>
      </w:pPr>
      <w:rPr>
        <w:rFonts w:ascii="Symbol" w:hAnsi="Symbol" w:hint="default"/>
      </w:rPr>
    </w:lvl>
    <w:lvl w:ilvl="5" w:tplc="E1C28726">
      <w:start w:val="1"/>
      <w:numFmt w:val="bullet"/>
      <w:lvlText w:val=""/>
      <w:lvlJc w:val="left"/>
      <w:pPr>
        <w:tabs>
          <w:tab w:val="num" w:pos="4320"/>
        </w:tabs>
        <w:ind w:left="4320" w:hanging="360"/>
      </w:pPr>
      <w:rPr>
        <w:rFonts w:ascii="Symbol" w:hAnsi="Symbol" w:hint="default"/>
      </w:rPr>
    </w:lvl>
    <w:lvl w:ilvl="6" w:tplc="55CCF666">
      <w:start w:val="1"/>
      <w:numFmt w:val="bullet"/>
      <w:lvlText w:val=""/>
      <w:lvlJc w:val="left"/>
      <w:pPr>
        <w:tabs>
          <w:tab w:val="num" w:pos="5040"/>
        </w:tabs>
        <w:ind w:left="5040" w:hanging="360"/>
      </w:pPr>
      <w:rPr>
        <w:rFonts w:ascii="Symbol" w:hAnsi="Symbol" w:hint="default"/>
      </w:rPr>
    </w:lvl>
    <w:lvl w:ilvl="7" w:tplc="282A2D2A">
      <w:start w:val="1"/>
      <w:numFmt w:val="bullet"/>
      <w:lvlText w:val=""/>
      <w:lvlJc w:val="left"/>
      <w:pPr>
        <w:tabs>
          <w:tab w:val="num" w:pos="5760"/>
        </w:tabs>
        <w:ind w:left="5760" w:hanging="360"/>
      </w:pPr>
      <w:rPr>
        <w:rFonts w:ascii="Symbol" w:hAnsi="Symbol" w:hint="default"/>
      </w:rPr>
    </w:lvl>
    <w:lvl w:ilvl="8" w:tplc="291EC860">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7C5088F"/>
    <w:multiLevelType w:val="hybridMultilevel"/>
    <w:tmpl w:val="0CF22682"/>
    <w:lvl w:ilvl="0" w:tplc="6E36A3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600416"/>
    <w:multiLevelType w:val="hybridMultilevel"/>
    <w:tmpl w:val="C9C05C08"/>
    <w:lvl w:ilvl="0" w:tplc="99F8700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5FE1874"/>
    <w:multiLevelType w:val="hybridMultilevel"/>
    <w:tmpl w:val="914EE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CD38DE"/>
    <w:multiLevelType w:val="hybridMultilevel"/>
    <w:tmpl w:val="9FF64372"/>
    <w:lvl w:ilvl="0" w:tplc="D26AD5CE">
      <w:start w:val="1"/>
      <w:numFmt w:val="bullet"/>
      <w:lvlText w:val="•"/>
      <w:lvlJc w:val="left"/>
      <w:pPr>
        <w:tabs>
          <w:tab w:val="num" w:pos="720"/>
        </w:tabs>
        <w:ind w:left="720" w:hanging="360"/>
      </w:pPr>
      <w:rPr>
        <w:rFonts w:ascii="Arial" w:hAnsi="Arial" w:hint="default"/>
      </w:rPr>
    </w:lvl>
    <w:lvl w:ilvl="1" w:tplc="BE5E9032">
      <w:start w:val="42"/>
      <w:numFmt w:val="bullet"/>
      <w:lvlText w:val="–"/>
      <w:lvlJc w:val="left"/>
      <w:pPr>
        <w:tabs>
          <w:tab w:val="num" w:pos="1440"/>
        </w:tabs>
        <w:ind w:left="1440" w:hanging="360"/>
      </w:pPr>
      <w:rPr>
        <w:rFonts w:ascii="Arial" w:hAnsi="Arial" w:hint="default"/>
      </w:rPr>
    </w:lvl>
    <w:lvl w:ilvl="2" w:tplc="6576F696">
      <w:start w:val="42"/>
      <w:numFmt w:val="bullet"/>
      <w:lvlText w:val="•"/>
      <w:lvlJc w:val="left"/>
      <w:pPr>
        <w:tabs>
          <w:tab w:val="num" w:pos="2160"/>
        </w:tabs>
        <w:ind w:left="2160" w:hanging="360"/>
      </w:pPr>
      <w:rPr>
        <w:rFonts w:ascii="Arial" w:hAnsi="Arial" w:hint="default"/>
      </w:rPr>
    </w:lvl>
    <w:lvl w:ilvl="3" w:tplc="6B286B96" w:tentative="1">
      <w:start w:val="1"/>
      <w:numFmt w:val="bullet"/>
      <w:lvlText w:val="•"/>
      <w:lvlJc w:val="left"/>
      <w:pPr>
        <w:tabs>
          <w:tab w:val="num" w:pos="2880"/>
        </w:tabs>
        <w:ind w:left="2880" w:hanging="360"/>
      </w:pPr>
      <w:rPr>
        <w:rFonts w:ascii="Arial" w:hAnsi="Arial" w:hint="default"/>
      </w:rPr>
    </w:lvl>
    <w:lvl w:ilvl="4" w:tplc="C2C82BA2" w:tentative="1">
      <w:start w:val="1"/>
      <w:numFmt w:val="bullet"/>
      <w:lvlText w:val="•"/>
      <w:lvlJc w:val="left"/>
      <w:pPr>
        <w:tabs>
          <w:tab w:val="num" w:pos="3600"/>
        </w:tabs>
        <w:ind w:left="3600" w:hanging="360"/>
      </w:pPr>
      <w:rPr>
        <w:rFonts w:ascii="Arial" w:hAnsi="Arial" w:hint="default"/>
      </w:rPr>
    </w:lvl>
    <w:lvl w:ilvl="5" w:tplc="6E38E7CA" w:tentative="1">
      <w:start w:val="1"/>
      <w:numFmt w:val="bullet"/>
      <w:lvlText w:val="•"/>
      <w:lvlJc w:val="left"/>
      <w:pPr>
        <w:tabs>
          <w:tab w:val="num" w:pos="4320"/>
        </w:tabs>
        <w:ind w:left="4320" w:hanging="360"/>
      </w:pPr>
      <w:rPr>
        <w:rFonts w:ascii="Arial" w:hAnsi="Arial" w:hint="default"/>
      </w:rPr>
    </w:lvl>
    <w:lvl w:ilvl="6" w:tplc="EFF8C45E" w:tentative="1">
      <w:start w:val="1"/>
      <w:numFmt w:val="bullet"/>
      <w:lvlText w:val="•"/>
      <w:lvlJc w:val="left"/>
      <w:pPr>
        <w:tabs>
          <w:tab w:val="num" w:pos="5040"/>
        </w:tabs>
        <w:ind w:left="5040" w:hanging="360"/>
      </w:pPr>
      <w:rPr>
        <w:rFonts w:ascii="Arial" w:hAnsi="Arial" w:hint="default"/>
      </w:rPr>
    </w:lvl>
    <w:lvl w:ilvl="7" w:tplc="C5D62D72" w:tentative="1">
      <w:start w:val="1"/>
      <w:numFmt w:val="bullet"/>
      <w:lvlText w:val="•"/>
      <w:lvlJc w:val="left"/>
      <w:pPr>
        <w:tabs>
          <w:tab w:val="num" w:pos="5760"/>
        </w:tabs>
        <w:ind w:left="5760" w:hanging="360"/>
      </w:pPr>
      <w:rPr>
        <w:rFonts w:ascii="Arial" w:hAnsi="Arial" w:hint="default"/>
      </w:rPr>
    </w:lvl>
    <w:lvl w:ilvl="8" w:tplc="B92E9A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9445583"/>
    <w:multiLevelType w:val="hybridMultilevel"/>
    <w:tmpl w:val="7DFA7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517DC1"/>
    <w:multiLevelType w:val="hybridMultilevel"/>
    <w:tmpl w:val="35BE1208"/>
    <w:lvl w:ilvl="0" w:tplc="FB42D0A8">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7"/>
  </w:num>
  <w:num w:numId="4">
    <w:abstractNumId w:val="9"/>
    <w:lvlOverride w:ilvl="0"/>
    <w:lvlOverride w:ilvl="1"/>
    <w:lvlOverride w:ilvl="2"/>
    <w:lvlOverride w:ilvl="3"/>
    <w:lvlOverride w:ilvl="4"/>
    <w:lvlOverride w:ilvl="5"/>
    <w:lvlOverride w:ilvl="6"/>
    <w:lvlOverride w:ilvl="7"/>
    <w:lvlOverride w:ilvl="8"/>
  </w:num>
  <w:num w:numId="5">
    <w:abstractNumId w:val="1"/>
  </w:num>
  <w:num w:numId="6">
    <w:abstractNumId w:val="6"/>
  </w:num>
  <w:num w:numId="7">
    <w:abstractNumId w:val="3"/>
  </w:num>
  <w:num w:numId="8">
    <w:abstractNumId w:val="2"/>
    <w:lvlOverride w:ilvl="0"/>
    <w:lvlOverride w:ilvl="1"/>
    <w:lvlOverride w:ilvl="2"/>
    <w:lvlOverride w:ilvl="3"/>
    <w:lvlOverride w:ilvl="4"/>
    <w:lvlOverride w:ilvl="5"/>
    <w:lvlOverride w:ilvl="6"/>
    <w:lvlOverride w:ilvl="7"/>
    <w:lvlOverride w:ilvl="8"/>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lvlOverride w:ilvl="2"/>
    <w:lvlOverride w:ilvl="3"/>
    <w:lvlOverride w:ilvl="4"/>
    <w:lvlOverride w:ilvl="5"/>
    <w:lvlOverride w:ilvl="6"/>
    <w:lvlOverride w:ilvl="7"/>
    <w:lvlOverride w:ilv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doNotTrackMoves/>
  <w:defaultTabStop w:val="720"/>
  <w:characterSpacingControl w:val="doNotCompress"/>
  <w:hdrShapeDefaults>
    <o:shapedefaults v:ext="edit" spidmax="3074">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E6C1A"/>
    <w:rsid w:val="00003291"/>
    <w:rsid w:val="0000368B"/>
    <w:rsid w:val="00004C2B"/>
    <w:rsid w:val="00006338"/>
    <w:rsid w:val="00012171"/>
    <w:rsid w:val="0001240F"/>
    <w:rsid w:val="00016C7E"/>
    <w:rsid w:val="00022C17"/>
    <w:rsid w:val="000230BC"/>
    <w:rsid w:val="000246D7"/>
    <w:rsid w:val="000249BB"/>
    <w:rsid w:val="00025369"/>
    <w:rsid w:val="00026181"/>
    <w:rsid w:val="000337FA"/>
    <w:rsid w:val="00033F33"/>
    <w:rsid w:val="00034DF4"/>
    <w:rsid w:val="00040AFB"/>
    <w:rsid w:val="00044CD1"/>
    <w:rsid w:val="00044FA6"/>
    <w:rsid w:val="00052C6B"/>
    <w:rsid w:val="000531C5"/>
    <w:rsid w:val="000544FA"/>
    <w:rsid w:val="00056521"/>
    <w:rsid w:val="00061E46"/>
    <w:rsid w:val="000626C4"/>
    <w:rsid w:val="00065AA8"/>
    <w:rsid w:val="00067A28"/>
    <w:rsid w:val="00070427"/>
    <w:rsid w:val="00074A46"/>
    <w:rsid w:val="00074FD3"/>
    <w:rsid w:val="00077238"/>
    <w:rsid w:val="000840A5"/>
    <w:rsid w:val="00092532"/>
    <w:rsid w:val="000943F2"/>
    <w:rsid w:val="00097167"/>
    <w:rsid w:val="000B5C2C"/>
    <w:rsid w:val="000B5EB7"/>
    <w:rsid w:val="000C18C0"/>
    <w:rsid w:val="000C1CA4"/>
    <w:rsid w:val="000C4F98"/>
    <w:rsid w:val="000C5726"/>
    <w:rsid w:val="000C7C15"/>
    <w:rsid w:val="000D3E6E"/>
    <w:rsid w:val="000E05F9"/>
    <w:rsid w:val="000E28F5"/>
    <w:rsid w:val="000E3E85"/>
    <w:rsid w:val="000E68AF"/>
    <w:rsid w:val="000F1CEA"/>
    <w:rsid w:val="000F1D15"/>
    <w:rsid w:val="000F2DB1"/>
    <w:rsid w:val="000F371C"/>
    <w:rsid w:val="000F5C8B"/>
    <w:rsid w:val="00106D90"/>
    <w:rsid w:val="00106EA3"/>
    <w:rsid w:val="00114031"/>
    <w:rsid w:val="00114BEC"/>
    <w:rsid w:val="00115E16"/>
    <w:rsid w:val="0011641C"/>
    <w:rsid w:val="00116B2A"/>
    <w:rsid w:val="001215C3"/>
    <w:rsid w:val="00122B4A"/>
    <w:rsid w:val="0012344E"/>
    <w:rsid w:val="001265E3"/>
    <w:rsid w:val="00133230"/>
    <w:rsid w:val="0013434F"/>
    <w:rsid w:val="00141E20"/>
    <w:rsid w:val="001447C0"/>
    <w:rsid w:val="001447ED"/>
    <w:rsid w:val="00150AF3"/>
    <w:rsid w:val="001533DA"/>
    <w:rsid w:val="00153504"/>
    <w:rsid w:val="00154DF0"/>
    <w:rsid w:val="001628E5"/>
    <w:rsid w:val="00163C51"/>
    <w:rsid w:val="00163E81"/>
    <w:rsid w:val="00166F8F"/>
    <w:rsid w:val="001719AC"/>
    <w:rsid w:val="00172F64"/>
    <w:rsid w:val="0018470A"/>
    <w:rsid w:val="00184C79"/>
    <w:rsid w:val="00190122"/>
    <w:rsid w:val="00191DF7"/>
    <w:rsid w:val="0019562F"/>
    <w:rsid w:val="00196D13"/>
    <w:rsid w:val="00196E39"/>
    <w:rsid w:val="001A1714"/>
    <w:rsid w:val="001A283D"/>
    <w:rsid w:val="001A4819"/>
    <w:rsid w:val="001A4AEA"/>
    <w:rsid w:val="001A546C"/>
    <w:rsid w:val="001A54B7"/>
    <w:rsid w:val="001A6CDA"/>
    <w:rsid w:val="001B12F2"/>
    <w:rsid w:val="001B2D4F"/>
    <w:rsid w:val="001B65F2"/>
    <w:rsid w:val="001B75D7"/>
    <w:rsid w:val="001C2AF1"/>
    <w:rsid w:val="001C382A"/>
    <w:rsid w:val="001C655C"/>
    <w:rsid w:val="001C716E"/>
    <w:rsid w:val="001D0D92"/>
    <w:rsid w:val="001D16CA"/>
    <w:rsid w:val="001D63A7"/>
    <w:rsid w:val="001D6BCA"/>
    <w:rsid w:val="001D6EFE"/>
    <w:rsid w:val="001D7011"/>
    <w:rsid w:val="001E0B43"/>
    <w:rsid w:val="001E2F54"/>
    <w:rsid w:val="001E3240"/>
    <w:rsid w:val="001F1359"/>
    <w:rsid w:val="001F49F0"/>
    <w:rsid w:val="0020535A"/>
    <w:rsid w:val="00207516"/>
    <w:rsid w:val="00213586"/>
    <w:rsid w:val="00213B63"/>
    <w:rsid w:val="00217824"/>
    <w:rsid w:val="00220ACF"/>
    <w:rsid w:val="00232F3D"/>
    <w:rsid w:val="00236998"/>
    <w:rsid w:val="0024069E"/>
    <w:rsid w:val="00243536"/>
    <w:rsid w:val="002463C8"/>
    <w:rsid w:val="00246E96"/>
    <w:rsid w:val="002471BA"/>
    <w:rsid w:val="00251D00"/>
    <w:rsid w:val="00252498"/>
    <w:rsid w:val="00255C10"/>
    <w:rsid w:val="00261474"/>
    <w:rsid w:val="00263E69"/>
    <w:rsid w:val="00265196"/>
    <w:rsid w:val="00265989"/>
    <w:rsid w:val="0026637D"/>
    <w:rsid w:val="00267313"/>
    <w:rsid w:val="00267ED8"/>
    <w:rsid w:val="0027606D"/>
    <w:rsid w:val="00280DE7"/>
    <w:rsid w:val="002814B2"/>
    <w:rsid w:val="00283E87"/>
    <w:rsid w:val="002856EF"/>
    <w:rsid w:val="00285AC7"/>
    <w:rsid w:val="00286E2D"/>
    <w:rsid w:val="00292768"/>
    <w:rsid w:val="00292B32"/>
    <w:rsid w:val="00295520"/>
    <w:rsid w:val="002955F3"/>
    <w:rsid w:val="002A4A4C"/>
    <w:rsid w:val="002A60EF"/>
    <w:rsid w:val="002B09FF"/>
    <w:rsid w:val="002B1C2F"/>
    <w:rsid w:val="002B57C1"/>
    <w:rsid w:val="002B7A82"/>
    <w:rsid w:val="002C5A27"/>
    <w:rsid w:val="002C66B9"/>
    <w:rsid w:val="002C74D0"/>
    <w:rsid w:val="002D0935"/>
    <w:rsid w:val="002D21F3"/>
    <w:rsid w:val="002D2A48"/>
    <w:rsid w:val="002D31A6"/>
    <w:rsid w:val="002D4F53"/>
    <w:rsid w:val="002E32A1"/>
    <w:rsid w:val="002F19CC"/>
    <w:rsid w:val="002F22A9"/>
    <w:rsid w:val="002F4C16"/>
    <w:rsid w:val="00306BF4"/>
    <w:rsid w:val="00307817"/>
    <w:rsid w:val="00315C1B"/>
    <w:rsid w:val="003167F1"/>
    <w:rsid w:val="00316B7F"/>
    <w:rsid w:val="00322784"/>
    <w:rsid w:val="0032622F"/>
    <w:rsid w:val="00331A7C"/>
    <w:rsid w:val="00337142"/>
    <w:rsid w:val="00344C22"/>
    <w:rsid w:val="00347349"/>
    <w:rsid w:val="00351044"/>
    <w:rsid w:val="00356DAE"/>
    <w:rsid w:val="003573B9"/>
    <w:rsid w:val="00361561"/>
    <w:rsid w:val="00363C40"/>
    <w:rsid w:val="0036778F"/>
    <w:rsid w:val="003770B1"/>
    <w:rsid w:val="0038141D"/>
    <w:rsid w:val="003839CB"/>
    <w:rsid w:val="00384454"/>
    <w:rsid w:val="0038629F"/>
    <w:rsid w:val="003878CF"/>
    <w:rsid w:val="003932E7"/>
    <w:rsid w:val="003A2B10"/>
    <w:rsid w:val="003B059C"/>
    <w:rsid w:val="003B33E1"/>
    <w:rsid w:val="003B4B43"/>
    <w:rsid w:val="003B5051"/>
    <w:rsid w:val="003B5D49"/>
    <w:rsid w:val="003B66BC"/>
    <w:rsid w:val="003C0982"/>
    <w:rsid w:val="003C2B37"/>
    <w:rsid w:val="003E1789"/>
    <w:rsid w:val="003E3DA7"/>
    <w:rsid w:val="003E5E4B"/>
    <w:rsid w:val="003F3DA0"/>
    <w:rsid w:val="003F413C"/>
    <w:rsid w:val="003F43ED"/>
    <w:rsid w:val="003F7307"/>
    <w:rsid w:val="0040190F"/>
    <w:rsid w:val="0040204E"/>
    <w:rsid w:val="00410027"/>
    <w:rsid w:val="0041045B"/>
    <w:rsid w:val="00414105"/>
    <w:rsid w:val="004146B9"/>
    <w:rsid w:val="00414F8C"/>
    <w:rsid w:val="00416A57"/>
    <w:rsid w:val="00420F4E"/>
    <w:rsid w:val="004212D4"/>
    <w:rsid w:val="0042415B"/>
    <w:rsid w:val="004257E2"/>
    <w:rsid w:val="0042679C"/>
    <w:rsid w:val="00430567"/>
    <w:rsid w:val="00437632"/>
    <w:rsid w:val="00444523"/>
    <w:rsid w:val="00444B43"/>
    <w:rsid w:val="00452007"/>
    <w:rsid w:val="0045369F"/>
    <w:rsid w:val="00455067"/>
    <w:rsid w:val="00461637"/>
    <w:rsid w:val="00470DEA"/>
    <w:rsid w:val="00472326"/>
    <w:rsid w:val="00472488"/>
    <w:rsid w:val="00473A7D"/>
    <w:rsid w:val="0047410D"/>
    <w:rsid w:val="00476CC6"/>
    <w:rsid w:val="00480353"/>
    <w:rsid w:val="00480662"/>
    <w:rsid w:val="00480A12"/>
    <w:rsid w:val="0048152C"/>
    <w:rsid w:val="00482522"/>
    <w:rsid w:val="00483A1E"/>
    <w:rsid w:val="004860C9"/>
    <w:rsid w:val="00493ED4"/>
    <w:rsid w:val="004A0DCE"/>
    <w:rsid w:val="004A1AD0"/>
    <w:rsid w:val="004A4210"/>
    <w:rsid w:val="004A58E2"/>
    <w:rsid w:val="004A5B74"/>
    <w:rsid w:val="004A75D5"/>
    <w:rsid w:val="004B395C"/>
    <w:rsid w:val="004B57FE"/>
    <w:rsid w:val="004B7B7C"/>
    <w:rsid w:val="004B7E43"/>
    <w:rsid w:val="004C011A"/>
    <w:rsid w:val="004C783A"/>
    <w:rsid w:val="004D1393"/>
    <w:rsid w:val="004D1A44"/>
    <w:rsid w:val="004D1CC5"/>
    <w:rsid w:val="004D233E"/>
    <w:rsid w:val="004D547D"/>
    <w:rsid w:val="004E0A39"/>
    <w:rsid w:val="004E2993"/>
    <w:rsid w:val="004E61E2"/>
    <w:rsid w:val="004E6935"/>
    <w:rsid w:val="004E716F"/>
    <w:rsid w:val="004E722A"/>
    <w:rsid w:val="004E7C65"/>
    <w:rsid w:val="004F4C5F"/>
    <w:rsid w:val="004F7980"/>
    <w:rsid w:val="005008F0"/>
    <w:rsid w:val="005019F7"/>
    <w:rsid w:val="0050203F"/>
    <w:rsid w:val="00504A35"/>
    <w:rsid w:val="0050536B"/>
    <w:rsid w:val="005062BB"/>
    <w:rsid w:val="00506551"/>
    <w:rsid w:val="00506566"/>
    <w:rsid w:val="0051040D"/>
    <w:rsid w:val="00510928"/>
    <w:rsid w:val="00510F10"/>
    <w:rsid w:val="00513400"/>
    <w:rsid w:val="00513BB3"/>
    <w:rsid w:val="005219C2"/>
    <w:rsid w:val="00521D80"/>
    <w:rsid w:val="00523D24"/>
    <w:rsid w:val="00524107"/>
    <w:rsid w:val="0052532A"/>
    <w:rsid w:val="00533E15"/>
    <w:rsid w:val="00545349"/>
    <w:rsid w:val="005461B4"/>
    <w:rsid w:val="00547521"/>
    <w:rsid w:val="00551F63"/>
    <w:rsid w:val="005523AC"/>
    <w:rsid w:val="005532AF"/>
    <w:rsid w:val="005537B4"/>
    <w:rsid w:val="005553E2"/>
    <w:rsid w:val="00556607"/>
    <w:rsid w:val="0055713E"/>
    <w:rsid w:val="0055730E"/>
    <w:rsid w:val="00561F7E"/>
    <w:rsid w:val="00566805"/>
    <w:rsid w:val="00582EF0"/>
    <w:rsid w:val="00586863"/>
    <w:rsid w:val="005906CE"/>
    <w:rsid w:val="005922D4"/>
    <w:rsid w:val="005941AC"/>
    <w:rsid w:val="005946BB"/>
    <w:rsid w:val="005A4100"/>
    <w:rsid w:val="005A622C"/>
    <w:rsid w:val="005A7BB5"/>
    <w:rsid w:val="005B1FBF"/>
    <w:rsid w:val="005C22CB"/>
    <w:rsid w:val="005C5FF2"/>
    <w:rsid w:val="005D3327"/>
    <w:rsid w:val="005D7FA2"/>
    <w:rsid w:val="005E4B33"/>
    <w:rsid w:val="005E7819"/>
    <w:rsid w:val="005F2C9C"/>
    <w:rsid w:val="005F54CA"/>
    <w:rsid w:val="006007FB"/>
    <w:rsid w:val="00602251"/>
    <w:rsid w:val="00606B0C"/>
    <w:rsid w:val="00611E68"/>
    <w:rsid w:val="00614696"/>
    <w:rsid w:val="00615E51"/>
    <w:rsid w:val="00617A9B"/>
    <w:rsid w:val="006211B2"/>
    <w:rsid w:val="006221F2"/>
    <w:rsid w:val="0062393B"/>
    <w:rsid w:val="00624627"/>
    <w:rsid w:val="00631D61"/>
    <w:rsid w:val="00633A92"/>
    <w:rsid w:val="006341E7"/>
    <w:rsid w:val="00634652"/>
    <w:rsid w:val="00644AC8"/>
    <w:rsid w:val="006479A6"/>
    <w:rsid w:val="0065285F"/>
    <w:rsid w:val="0065461A"/>
    <w:rsid w:val="00655665"/>
    <w:rsid w:val="00656663"/>
    <w:rsid w:val="006600A2"/>
    <w:rsid w:val="0066522D"/>
    <w:rsid w:val="00667DF2"/>
    <w:rsid w:val="006723C1"/>
    <w:rsid w:val="00673505"/>
    <w:rsid w:val="00677584"/>
    <w:rsid w:val="006809B4"/>
    <w:rsid w:val="00681DA1"/>
    <w:rsid w:val="00684C1B"/>
    <w:rsid w:val="00686E91"/>
    <w:rsid w:val="00687222"/>
    <w:rsid w:val="00690190"/>
    <w:rsid w:val="0069129D"/>
    <w:rsid w:val="006A663B"/>
    <w:rsid w:val="006A77BC"/>
    <w:rsid w:val="006B00BD"/>
    <w:rsid w:val="006B5CE5"/>
    <w:rsid w:val="006C5D28"/>
    <w:rsid w:val="006D515C"/>
    <w:rsid w:val="006D5626"/>
    <w:rsid w:val="006D590B"/>
    <w:rsid w:val="006D5D2B"/>
    <w:rsid w:val="006E022A"/>
    <w:rsid w:val="006E2A02"/>
    <w:rsid w:val="006E4EC1"/>
    <w:rsid w:val="006E53E4"/>
    <w:rsid w:val="006E6E76"/>
    <w:rsid w:val="006F0097"/>
    <w:rsid w:val="006F2C99"/>
    <w:rsid w:val="006F7B0E"/>
    <w:rsid w:val="00702F04"/>
    <w:rsid w:val="00703191"/>
    <w:rsid w:val="00703F92"/>
    <w:rsid w:val="00712E99"/>
    <w:rsid w:val="00717139"/>
    <w:rsid w:val="007212E5"/>
    <w:rsid w:val="007237E7"/>
    <w:rsid w:val="007276B9"/>
    <w:rsid w:val="00732B6A"/>
    <w:rsid w:val="00737F3F"/>
    <w:rsid w:val="00742043"/>
    <w:rsid w:val="00743746"/>
    <w:rsid w:val="00745699"/>
    <w:rsid w:val="00751D5E"/>
    <w:rsid w:val="00757CDA"/>
    <w:rsid w:val="0076250A"/>
    <w:rsid w:val="00763C70"/>
    <w:rsid w:val="00764441"/>
    <w:rsid w:val="00764A83"/>
    <w:rsid w:val="00772B59"/>
    <w:rsid w:val="00773446"/>
    <w:rsid w:val="00774D02"/>
    <w:rsid w:val="00776AE0"/>
    <w:rsid w:val="007857DB"/>
    <w:rsid w:val="0079015C"/>
    <w:rsid w:val="00792574"/>
    <w:rsid w:val="00792AD2"/>
    <w:rsid w:val="00793D7F"/>
    <w:rsid w:val="00794B3D"/>
    <w:rsid w:val="007A0B63"/>
    <w:rsid w:val="007A519E"/>
    <w:rsid w:val="007A6678"/>
    <w:rsid w:val="007B476D"/>
    <w:rsid w:val="007C1E0A"/>
    <w:rsid w:val="007C5D0D"/>
    <w:rsid w:val="007C747C"/>
    <w:rsid w:val="007D0E42"/>
    <w:rsid w:val="007D287E"/>
    <w:rsid w:val="007E1F35"/>
    <w:rsid w:val="007F1279"/>
    <w:rsid w:val="007F22DF"/>
    <w:rsid w:val="007F545A"/>
    <w:rsid w:val="007F5E96"/>
    <w:rsid w:val="007F6461"/>
    <w:rsid w:val="008062BF"/>
    <w:rsid w:val="00810AFB"/>
    <w:rsid w:val="00817F54"/>
    <w:rsid w:val="00835398"/>
    <w:rsid w:val="00835870"/>
    <w:rsid w:val="00840FA6"/>
    <w:rsid w:val="008456E3"/>
    <w:rsid w:val="00847945"/>
    <w:rsid w:val="00847CC7"/>
    <w:rsid w:val="008513EB"/>
    <w:rsid w:val="00851F4F"/>
    <w:rsid w:val="00855C2F"/>
    <w:rsid w:val="00862003"/>
    <w:rsid w:val="00866FE6"/>
    <w:rsid w:val="0086791E"/>
    <w:rsid w:val="008709E4"/>
    <w:rsid w:val="00870EBE"/>
    <w:rsid w:val="008828E0"/>
    <w:rsid w:val="00882B72"/>
    <w:rsid w:val="00883CA5"/>
    <w:rsid w:val="00884E59"/>
    <w:rsid w:val="00885214"/>
    <w:rsid w:val="0088584A"/>
    <w:rsid w:val="00890E24"/>
    <w:rsid w:val="008915A4"/>
    <w:rsid w:val="00895370"/>
    <w:rsid w:val="00895401"/>
    <w:rsid w:val="008A0740"/>
    <w:rsid w:val="008A3BBC"/>
    <w:rsid w:val="008A4F54"/>
    <w:rsid w:val="008A5012"/>
    <w:rsid w:val="008A5AAF"/>
    <w:rsid w:val="008B12E4"/>
    <w:rsid w:val="008B1868"/>
    <w:rsid w:val="008B1F80"/>
    <w:rsid w:val="008B26C8"/>
    <w:rsid w:val="008B794B"/>
    <w:rsid w:val="008C0337"/>
    <w:rsid w:val="008C0AFC"/>
    <w:rsid w:val="008C60A9"/>
    <w:rsid w:val="008D467C"/>
    <w:rsid w:val="008D5C7E"/>
    <w:rsid w:val="008D7191"/>
    <w:rsid w:val="008D7C2E"/>
    <w:rsid w:val="008E5CD0"/>
    <w:rsid w:val="008E6C1A"/>
    <w:rsid w:val="0090072F"/>
    <w:rsid w:val="00906466"/>
    <w:rsid w:val="00910548"/>
    <w:rsid w:val="00912DB3"/>
    <w:rsid w:val="00915502"/>
    <w:rsid w:val="00917726"/>
    <w:rsid w:val="00917F00"/>
    <w:rsid w:val="009212D9"/>
    <w:rsid w:val="0092620F"/>
    <w:rsid w:val="00926E08"/>
    <w:rsid w:val="00932FA9"/>
    <w:rsid w:val="00937090"/>
    <w:rsid w:val="00940BB8"/>
    <w:rsid w:val="00941078"/>
    <w:rsid w:val="009451C8"/>
    <w:rsid w:val="00952BE8"/>
    <w:rsid w:val="00960E18"/>
    <w:rsid w:val="00962250"/>
    <w:rsid w:val="0096258E"/>
    <w:rsid w:val="009678C6"/>
    <w:rsid w:val="00967ADD"/>
    <w:rsid w:val="0097137E"/>
    <w:rsid w:val="0097695C"/>
    <w:rsid w:val="0098046C"/>
    <w:rsid w:val="00982C87"/>
    <w:rsid w:val="009835BC"/>
    <w:rsid w:val="00983F79"/>
    <w:rsid w:val="00984439"/>
    <w:rsid w:val="00987271"/>
    <w:rsid w:val="009900F7"/>
    <w:rsid w:val="00991BAD"/>
    <w:rsid w:val="00993E67"/>
    <w:rsid w:val="00996C51"/>
    <w:rsid w:val="00997F0F"/>
    <w:rsid w:val="009A0015"/>
    <w:rsid w:val="009A0E64"/>
    <w:rsid w:val="009A3E6D"/>
    <w:rsid w:val="009A4F7D"/>
    <w:rsid w:val="009A642E"/>
    <w:rsid w:val="009A78D4"/>
    <w:rsid w:val="009B01D9"/>
    <w:rsid w:val="009B1804"/>
    <w:rsid w:val="009C0C4E"/>
    <w:rsid w:val="009C2B5E"/>
    <w:rsid w:val="009C36CC"/>
    <w:rsid w:val="009D3B7E"/>
    <w:rsid w:val="009E2144"/>
    <w:rsid w:val="009E2F50"/>
    <w:rsid w:val="009E54CC"/>
    <w:rsid w:val="009E55A4"/>
    <w:rsid w:val="009E563B"/>
    <w:rsid w:val="009E7645"/>
    <w:rsid w:val="009F0EA9"/>
    <w:rsid w:val="009F2034"/>
    <w:rsid w:val="009F2432"/>
    <w:rsid w:val="009F4491"/>
    <w:rsid w:val="009F5A1A"/>
    <w:rsid w:val="00A016F0"/>
    <w:rsid w:val="00A03EBC"/>
    <w:rsid w:val="00A07786"/>
    <w:rsid w:val="00A10401"/>
    <w:rsid w:val="00A1073D"/>
    <w:rsid w:val="00A107DF"/>
    <w:rsid w:val="00A12C8C"/>
    <w:rsid w:val="00A14651"/>
    <w:rsid w:val="00A21901"/>
    <w:rsid w:val="00A267C4"/>
    <w:rsid w:val="00A3270E"/>
    <w:rsid w:val="00A34B1D"/>
    <w:rsid w:val="00A36425"/>
    <w:rsid w:val="00A3785C"/>
    <w:rsid w:val="00A402F8"/>
    <w:rsid w:val="00A41DFD"/>
    <w:rsid w:val="00A427B4"/>
    <w:rsid w:val="00A43960"/>
    <w:rsid w:val="00A445D1"/>
    <w:rsid w:val="00A4523E"/>
    <w:rsid w:val="00A465E5"/>
    <w:rsid w:val="00A51322"/>
    <w:rsid w:val="00A5138F"/>
    <w:rsid w:val="00A52559"/>
    <w:rsid w:val="00A634B5"/>
    <w:rsid w:val="00A63508"/>
    <w:rsid w:val="00A67FBF"/>
    <w:rsid w:val="00A70F8C"/>
    <w:rsid w:val="00A72D1C"/>
    <w:rsid w:val="00A73B29"/>
    <w:rsid w:val="00A81561"/>
    <w:rsid w:val="00A83E32"/>
    <w:rsid w:val="00A84E89"/>
    <w:rsid w:val="00A867D4"/>
    <w:rsid w:val="00A86B04"/>
    <w:rsid w:val="00A90A81"/>
    <w:rsid w:val="00A94ECB"/>
    <w:rsid w:val="00AA5219"/>
    <w:rsid w:val="00AB31D4"/>
    <w:rsid w:val="00AB4BCE"/>
    <w:rsid w:val="00AB6059"/>
    <w:rsid w:val="00AC646E"/>
    <w:rsid w:val="00AC673C"/>
    <w:rsid w:val="00AD432B"/>
    <w:rsid w:val="00AD472F"/>
    <w:rsid w:val="00AD628D"/>
    <w:rsid w:val="00AD7858"/>
    <w:rsid w:val="00AD7A3C"/>
    <w:rsid w:val="00AE1D69"/>
    <w:rsid w:val="00AF0A36"/>
    <w:rsid w:val="00AF1293"/>
    <w:rsid w:val="00AF230E"/>
    <w:rsid w:val="00AF41A9"/>
    <w:rsid w:val="00AF6CED"/>
    <w:rsid w:val="00B04746"/>
    <w:rsid w:val="00B0637E"/>
    <w:rsid w:val="00B07233"/>
    <w:rsid w:val="00B21718"/>
    <w:rsid w:val="00B348E6"/>
    <w:rsid w:val="00B430D7"/>
    <w:rsid w:val="00B447A9"/>
    <w:rsid w:val="00B45190"/>
    <w:rsid w:val="00B45310"/>
    <w:rsid w:val="00B47DE5"/>
    <w:rsid w:val="00B557FD"/>
    <w:rsid w:val="00B625DE"/>
    <w:rsid w:val="00B62CF8"/>
    <w:rsid w:val="00B6436F"/>
    <w:rsid w:val="00B644B0"/>
    <w:rsid w:val="00B668A1"/>
    <w:rsid w:val="00B66F55"/>
    <w:rsid w:val="00B678C7"/>
    <w:rsid w:val="00B73298"/>
    <w:rsid w:val="00B73598"/>
    <w:rsid w:val="00B75CFE"/>
    <w:rsid w:val="00B80394"/>
    <w:rsid w:val="00B805D5"/>
    <w:rsid w:val="00B82DD8"/>
    <w:rsid w:val="00B83C50"/>
    <w:rsid w:val="00B937FC"/>
    <w:rsid w:val="00B94324"/>
    <w:rsid w:val="00B9551D"/>
    <w:rsid w:val="00B96192"/>
    <w:rsid w:val="00B97190"/>
    <w:rsid w:val="00B97E51"/>
    <w:rsid w:val="00BB38BC"/>
    <w:rsid w:val="00BD6103"/>
    <w:rsid w:val="00BE28F5"/>
    <w:rsid w:val="00BE389E"/>
    <w:rsid w:val="00C0546E"/>
    <w:rsid w:val="00C1384C"/>
    <w:rsid w:val="00C13E39"/>
    <w:rsid w:val="00C143DB"/>
    <w:rsid w:val="00C2014E"/>
    <w:rsid w:val="00C217D3"/>
    <w:rsid w:val="00C23D45"/>
    <w:rsid w:val="00C30CEE"/>
    <w:rsid w:val="00C334E5"/>
    <w:rsid w:val="00C35326"/>
    <w:rsid w:val="00C373D3"/>
    <w:rsid w:val="00C41E3A"/>
    <w:rsid w:val="00C44176"/>
    <w:rsid w:val="00C5056F"/>
    <w:rsid w:val="00C57AB2"/>
    <w:rsid w:val="00C61CEA"/>
    <w:rsid w:val="00C63FFE"/>
    <w:rsid w:val="00C84F38"/>
    <w:rsid w:val="00C87440"/>
    <w:rsid w:val="00C93B09"/>
    <w:rsid w:val="00C93E25"/>
    <w:rsid w:val="00C94C99"/>
    <w:rsid w:val="00C9657D"/>
    <w:rsid w:val="00C96A86"/>
    <w:rsid w:val="00C9732C"/>
    <w:rsid w:val="00CA2A7E"/>
    <w:rsid w:val="00CA6F94"/>
    <w:rsid w:val="00CB4895"/>
    <w:rsid w:val="00CB60A3"/>
    <w:rsid w:val="00CC3602"/>
    <w:rsid w:val="00CC586A"/>
    <w:rsid w:val="00CC6556"/>
    <w:rsid w:val="00CC74C8"/>
    <w:rsid w:val="00CD24EB"/>
    <w:rsid w:val="00CD5457"/>
    <w:rsid w:val="00CD66A8"/>
    <w:rsid w:val="00CE18E0"/>
    <w:rsid w:val="00CE3618"/>
    <w:rsid w:val="00CE460A"/>
    <w:rsid w:val="00CF0508"/>
    <w:rsid w:val="00CF36DE"/>
    <w:rsid w:val="00CF3711"/>
    <w:rsid w:val="00D02C0F"/>
    <w:rsid w:val="00D03666"/>
    <w:rsid w:val="00D0457B"/>
    <w:rsid w:val="00D06A36"/>
    <w:rsid w:val="00D06EF6"/>
    <w:rsid w:val="00D07ABE"/>
    <w:rsid w:val="00D12BB9"/>
    <w:rsid w:val="00D14BCA"/>
    <w:rsid w:val="00D1772D"/>
    <w:rsid w:val="00D32C7D"/>
    <w:rsid w:val="00D33B3B"/>
    <w:rsid w:val="00D33B77"/>
    <w:rsid w:val="00D36C03"/>
    <w:rsid w:val="00D37F24"/>
    <w:rsid w:val="00D44259"/>
    <w:rsid w:val="00D46CF2"/>
    <w:rsid w:val="00D506F5"/>
    <w:rsid w:val="00D6027E"/>
    <w:rsid w:val="00D62D92"/>
    <w:rsid w:val="00D64A58"/>
    <w:rsid w:val="00D6677F"/>
    <w:rsid w:val="00D669D7"/>
    <w:rsid w:val="00D72CD4"/>
    <w:rsid w:val="00D73633"/>
    <w:rsid w:val="00D762F4"/>
    <w:rsid w:val="00D76C15"/>
    <w:rsid w:val="00D81F5B"/>
    <w:rsid w:val="00D877E1"/>
    <w:rsid w:val="00D974EF"/>
    <w:rsid w:val="00D979FC"/>
    <w:rsid w:val="00D97B88"/>
    <w:rsid w:val="00D97BD1"/>
    <w:rsid w:val="00DA1204"/>
    <w:rsid w:val="00DA1B3F"/>
    <w:rsid w:val="00DA37EA"/>
    <w:rsid w:val="00DA61A9"/>
    <w:rsid w:val="00DC0104"/>
    <w:rsid w:val="00DC05BC"/>
    <w:rsid w:val="00DC28C2"/>
    <w:rsid w:val="00DC4BD1"/>
    <w:rsid w:val="00DC7CFA"/>
    <w:rsid w:val="00DD1C15"/>
    <w:rsid w:val="00DD229E"/>
    <w:rsid w:val="00DD61F3"/>
    <w:rsid w:val="00DE4ACA"/>
    <w:rsid w:val="00DE615C"/>
    <w:rsid w:val="00DF00F3"/>
    <w:rsid w:val="00DF058E"/>
    <w:rsid w:val="00DF36C4"/>
    <w:rsid w:val="00DF496E"/>
    <w:rsid w:val="00E02ABE"/>
    <w:rsid w:val="00E02B7E"/>
    <w:rsid w:val="00E118B8"/>
    <w:rsid w:val="00E14281"/>
    <w:rsid w:val="00E16CF0"/>
    <w:rsid w:val="00E1714A"/>
    <w:rsid w:val="00E20DFB"/>
    <w:rsid w:val="00E265BE"/>
    <w:rsid w:val="00E27AC9"/>
    <w:rsid w:val="00E27F54"/>
    <w:rsid w:val="00E30148"/>
    <w:rsid w:val="00E304F1"/>
    <w:rsid w:val="00E30C3A"/>
    <w:rsid w:val="00E4077E"/>
    <w:rsid w:val="00E426FA"/>
    <w:rsid w:val="00E43709"/>
    <w:rsid w:val="00E43AF3"/>
    <w:rsid w:val="00E452AA"/>
    <w:rsid w:val="00E46B4B"/>
    <w:rsid w:val="00E47923"/>
    <w:rsid w:val="00E520C8"/>
    <w:rsid w:val="00E52B6D"/>
    <w:rsid w:val="00E53031"/>
    <w:rsid w:val="00E564AF"/>
    <w:rsid w:val="00E63F96"/>
    <w:rsid w:val="00E65F36"/>
    <w:rsid w:val="00E6726A"/>
    <w:rsid w:val="00E672FB"/>
    <w:rsid w:val="00E70AA3"/>
    <w:rsid w:val="00E72230"/>
    <w:rsid w:val="00E73A18"/>
    <w:rsid w:val="00E73C9F"/>
    <w:rsid w:val="00E757F6"/>
    <w:rsid w:val="00E75F0E"/>
    <w:rsid w:val="00E8293C"/>
    <w:rsid w:val="00E8308C"/>
    <w:rsid w:val="00E8469D"/>
    <w:rsid w:val="00E84C33"/>
    <w:rsid w:val="00E854E3"/>
    <w:rsid w:val="00E86166"/>
    <w:rsid w:val="00E8638E"/>
    <w:rsid w:val="00E91084"/>
    <w:rsid w:val="00E9386B"/>
    <w:rsid w:val="00E940EF"/>
    <w:rsid w:val="00E94212"/>
    <w:rsid w:val="00E95FEA"/>
    <w:rsid w:val="00E97E72"/>
    <w:rsid w:val="00EA1AA5"/>
    <w:rsid w:val="00EA24E1"/>
    <w:rsid w:val="00EA3BD9"/>
    <w:rsid w:val="00EA582C"/>
    <w:rsid w:val="00EA7617"/>
    <w:rsid w:val="00EB02EA"/>
    <w:rsid w:val="00EB320B"/>
    <w:rsid w:val="00EB3459"/>
    <w:rsid w:val="00EB378E"/>
    <w:rsid w:val="00EB49E8"/>
    <w:rsid w:val="00EB71FF"/>
    <w:rsid w:val="00EC07FF"/>
    <w:rsid w:val="00EC4979"/>
    <w:rsid w:val="00ED1058"/>
    <w:rsid w:val="00ED16D3"/>
    <w:rsid w:val="00ED3FF6"/>
    <w:rsid w:val="00ED4595"/>
    <w:rsid w:val="00EE58CF"/>
    <w:rsid w:val="00EF1D94"/>
    <w:rsid w:val="00EF5008"/>
    <w:rsid w:val="00EF6840"/>
    <w:rsid w:val="00EF763B"/>
    <w:rsid w:val="00F02A56"/>
    <w:rsid w:val="00F02F9C"/>
    <w:rsid w:val="00F04F93"/>
    <w:rsid w:val="00F164D3"/>
    <w:rsid w:val="00F23796"/>
    <w:rsid w:val="00F238C1"/>
    <w:rsid w:val="00F266C6"/>
    <w:rsid w:val="00F27E12"/>
    <w:rsid w:val="00F35F18"/>
    <w:rsid w:val="00F4087F"/>
    <w:rsid w:val="00F42465"/>
    <w:rsid w:val="00F43900"/>
    <w:rsid w:val="00F4664E"/>
    <w:rsid w:val="00F54166"/>
    <w:rsid w:val="00F626B5"/>
    <w:rsid w:val="00F661FA"/>
    <w:rsid w:val="00F6694B"/>
    <w:rsid w:val="00F70FEA"/>
    <w:rsid w:val="00F736BA"/>
    <w:rsid w:val="00F769B3"/>
    <w:rsid w:val="00F81DCB"/>
    <w:rsid w:val="00F831F2"/>
    <w:rsid w:val="00F83302"/>
    <w:rsid w:val="00F834E9"/>
    <w:rsid w:val="00F83FB9"/>
    <w:rsid w:val="00F91160"/>
    <w:rsid w:val="00F92A98"/>
    <w:rsid w:val="00F94099"/>
    <w:rsid w:val="00F960EE"/>
    <w:rsid w:val="00F96963"/>
    <w:rsid w:val="00F96978"/>
    <w:rsid w:val="00F97FF8"/>
    <w:rsid w:val="00FB22D8"/>
    <w:rsid w:val="00FB6351"/>
    <w:rsid w:val="00FC70DA"/>
    <w:rsid w:val="00FC78EB"/>
    <w:rsid w:val="00FE6846"/>
    <w:rsid w:val="00FE7867"/>
    <w:rsid w:val="00FE7DDA"/>
    <w:rsid w:val="00FF04D5"/>
    <w:rsid w:val="00FF1707"/>
    <w:rsid w:val="00FF293E"/>
    <w:rsid w:val="00FF2975"/>
    <w:rsid w:val="00FF31D6"/>
    <w:rsid w:val="00FF450D"/>
    <w:rsid w:val="00FF6414"/>
    <w:rsid w:val="00FF7E79"/>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v:textbox inset="5.85pt,.7pt,5.85pt,.7pt"/>
    </o:shapedefaults>
    <o:shapelayout v:ext="edit">
      <o:idmap v:ext="edit" data="1"/>
    </o:shapelayout>
  </w:shapeDefaults>
  <w:decimalSymbol w:val=","/>
  <w:listSeparator w:val=";"/>
  <w14:docId w14:val="77166B01"/>
  <w15:chartTrackingRefBased/>
  <w15:docId w15:val="{7F7EEE7D-F770-41C4-8C33-DB4AE4A6E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49BB"/>
    <w:pPr>
      <w:spacing w:after="180"/>
    </w:pPr>
    <w:rPr>
      <w:rFonts w:ascii="Times New Roman" w:eastAsia="Times New Roman" w:hAnsi="Times New Roman"/>
      <w:lang w:val="en-GB"/>
    </w:rPr>
  </w:style>
  <w:style w:type="paragraph" w:styleId="Heading1">
    <w:name w:val="heading 1"/>
    <w:next w:val="Normal"/>
    <w:link w:val="Heading1Char"/>
    <w:qFormat/>
    <w:rsid w:val="000249BB"/>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0249B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D979FC"/>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20F4E"/>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AD628D"/>
    <w:pPr>
      <w:spacing w:before="240" w:after="60"/>
      <w:outlineLvl w:val="4"/>
    </w:pPr>
    <w:rPr>
      <w:rFonts w:ascii="Calibri" w:hAnsi="Calibri"/>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249BB"/>
    <w:rPr>
      <w:rFonts w:ascii="Arial" w:eastAsia="Times New Roman" w:hAnsi="Arial" w:cs="Times New Roman"/>
      <w:sz w:val="36"/>
      <w:szCs w:val="20"/>
      <w:lang w:val="en-GB"/>
    </w:rPr>
  </w:style>
  <w:style w:type="character" w:customStyle="1" w:styleId="Heading2Char">
    <w:name w:val="Heading 2 Char"/>
    <w:link w:val="Heading2"/>
    <w:rsid w:val="000249BB"/>
    <w:rPr>
      <w:rFonts w:ascii="Arial" w:eastAsia="Times New Roman" w:hAnsi="Arial" w:cs="Times New Roman"/>
      <w:sz w:val="32"/>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249B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249BB"/>
    <w:rPr>
      <w:rFonts w:ascii="Arial" w:eastAsia="Times New Roman" w:hAnsi="Arial" w:cs="Times New Roman"/>
      <w:b/>
      <w:noProof/>
      <w:sz w:val="18"/>
      <w:szCs w:val="20"/>
      <w:lang w:val="en-GB" w:eastAsia="ja-JP"/>
    </w:rPr>
  </w:style>
  <w:style w:type="paragraph" w:customStyle="1" w:styleId="CRCoverPage">
    <w:name w:val="CR Cover Page"/>
    <w:link w:val="CRCoverPageChar"/>
    <w:rsid w:val="000249BB"/>
    <w:pPr>
      <w:spacing w:after="120"/>
    </w:pPr>
    <w:rPr>
      <w:rFonts w:ascii="Arial" w:hAnsi="Arial"/>
      <w:lang w:val="en-GB"/>
    </w:rPr>
  </w:style>
  <w:style w:type="paragraph" w:styleId="ListParagraph">
    <w:name w:val="List Paragraph"/>
    <w:aliases w:val="- Bullets,?? ??,?????,????,목록 단락,リスト段落,列出段落"/>
    <w:basedOn w:val="Normal"/>
    <w:link w:val="ListParagraphChar"/>
    <w:uiPriority w:val="34"/>
    <w:qFormat/>
    <w:rsid w:val="00E43AF3"/>
    <w:pPr>
      <w:ind w:left="720"/>
      <w:contextualSpacing/>
    </w:pPr>
  </w:style>
  <w:style w:type="paragraph" w:styleId="BalloonText">
    <w:name w:val="Balloon Text"/>
    <w:basedOn w:val="Normal"/>
    <w:link w:val="BalloonTextChar"/>
    <w:uiPriority w:val="99"/>
    <w:semiHidden/>
    <w:unhideWhenUsed/>
    <w:rsid w:val="00D72CD4"/>
    <w:pPr>
      <w:spacing w:after="0"/>
    </w:pPr>
    <w:rPr>
      <w:rFonts w:ascii="Segoe UI" w:hAnsi="Segoe UI" w:cs="Segoe UI"/>
      <w:sz w:val="18"/>
      <w:szCs w:val="18"/>
    </w:rPr>
  </w:style>
  <w:style w:type="character" w:customStyle="1" w:styleId="BalloonTextChar">
    <w:name w:val="Balloon Text Char"/>
    <w:link w:val="BalloonText"/>
    <w:uiPriority w:val="99"/>
    <w:semiHidden/>
    <w:rsid w:val="00D72CD4"/>
    <w:rPr>
      <w:rFonts w:ascii="Segoe UI" w:eastAsia="Times New Roman" w:hAnsi="Segoe UI" w:cs="Segoe UI"/>
      <w:sz w:val="18"/>
      <w:szCs w:val="18"/>
      <w:lang w:val="en-GB"/>
    </w:rPr>
  </w:style>
  <w:style w:type="table" w:styleId="TableGrid">
    <w:name w:val="Table Grid"/>
    <w:basedOn w:val="TableNormal"/>
    <w:rsid w:val="00D7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5">
    <w:name w:val="List Table 3 Accent 5"/>
    <w:basedOn w:val="TableNormal"/>
    <w:uiPriority w:val="48"/>
    <w:rsid w:val="00D72CD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PlainTable1">
    <w:name w:val="Plain Table 1"/>
    <w:basedOn w:val="TableNormal"/>
    <w:uiPriority w:val="41"/>
    <w:rsid w:val="00D72C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1">
    <w:name w:val="B1"/>
    <w:basedOn w:val="Normal"/>
    <w:rsid w:val="00655665"/>
    <w:rPr>
      <w:b/>
      <w:lang w:val="en-US"/>
    </w:rPr>
  </w:style>
  <w:style w:type="paragraph" w:styleId="NormalWeb">
    <w:name w:val="Normal (Web)"/>
    <w:basedOn w:val="Normal"/>
    <w:uiPriority w:val="99"/>
    <w:semiHidden/>
    <w:unhideWhenUsed/>
    <w:rsid w:val="00987271"/>
    <w:pPr>
      <w:spacing w:before="100" w:beforeAutospacing="1" w:after="100" w:afterAutospacing="1"/>
    </w:pPr>
    <w:rPr>
      <w:sz w:val="24"/>
      <w:szCs w:val="24"/>
      <w:lang w:val="en-US"/>
    </w:rPr>
  </w:style>
  <w:style w:type="character" w:styleId="CommentReference">
    <w:name w:val="annotation reference"/>
    <w:uiPriority w:val="99"/>
    <w:semiHidden/>
    <w:unhideWhenUsed/>
    <w:rsid w:val="009D3B7E"/>
    <w:rPr>
      <w:sz w:val="16"/>
      <w:szCs w:val="16"/>
    </w:rPr>
  </w:style>
  <w:style w:type="paragraph" w:styleId="CommentText">
    <w:name w:val="annotation text"/>
    <w:basedOn w:val="Normal"/>
    <w:link w:val="CommentTextChar"/>
    <w:uiPriority w:val="99"/>
    <w:semiHidden/>
    <w:unhideWhenUsed/>
    <w:rsid w:val="009D3B7E"/>
  </w:style>
  <w:style w:type="character" w:customStyle="1" w:styleId="CommentTextChar">
    <w:name w:val="Comment Text Char"/>
    <w:link w:val="CommentText"/>
    <w:uiPriority w:val="99"/>
    <w:semiHidden/>
    <w:rsid w:val="009D3B7E"/>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9D3B7E"/>
    <w:rPr>
      <w:b/>
      <w:bCs/>
    </w:rPr>
  </w:style>
  <w:style w:type="character" w:customStyle="1" w:styleId="CommentSubjectChar">
    <w:name w:val="Comment Subject Char"/>
    <w:link w:val="CommentSubject"/>
    <w:uiPriority w:val="99"/>
    <w:semiHidden/>
    <w:rsid w:val="009D3B7E"/>
    <w:rPr>
      <w:rFonts w:ascii="Times New Roman" w:eastAsia="Times New Roman" w:hAnsi="Times New Roman"/>
      <w:b/>
      <w:bCs/>
      <w:lang w:val="en-GB"/>
    </w:rPr>
  </w:style>
  <w:style w:type="paragraph" w:styleId="Caption">
    <w:name w:val="caption"/>
    <w:basedOn w:val="Normal"/>
    <w:next w:val="Normal"/>
    <w:uiPriority w:val="35"/>
    <w:unhideWhenUsed/>
    <w:qFormat/>
    <w:rsid w:val="00D06A36"/>
    <w:rPr>
      <w:b/>
      <w:bCs/>
    </w:rPr>
  </w:style>
  <w:style w:type="character" w:customStyle="1" w:styleId="Heading3Char">
    <w:name w:val="Heading 3 Char"/>
    <w:link w:val="Heading3"/>
    <w:uiPriority w:val="9"/>
    <w:semiHidden/>
    <w:rsid w:val="00D979FC"/>
    <w:rPr>
      <w:rFonts w:ascii="Calibri Light" w:eastAsia="Times New Roman" w:hAnsi="Calibri Light" w:cs="Times New Roman"/>
      <w:b/>
      <w:bCs/>
      <w:sz w:val="26"/>
      <w:szCs w:val="26"/>
      <w:lang w:val="en-GB"/>
    </w:rPr>
  </w:style>
  <w:style w:type="character" w:styleId="Hyperlink">
    <w:name w:val="Hyperlink"/>
    <w:uiPriority w:val="99"/>
    <w:rsid w:val="008B1868"/>
    <w:rPr>
      <w:color w:val="0000FF"/>
      <w:u w:val="single"/>
    </w:rPr>
  </w:style>
  <w:style w:type="paragraph" w:styleId="BodyText">
    <w:name w:val="Body Text"/>
    <w:basedOn w:val="Normal"/>
    <w:link w:val="BodyTextChar"/>
    <w:rsid w:val="008828E0"/>
    <w:pPr>
      <w:spacing w:after="120" w:line="259" w:lineRule="auto"/>
    </w:pPr>
    <w:rPr>
      <w:rFonts w:ascii="Calibri" w:eastAsia="Calibri" w:hAnsi="Calibri"/>
      <w:sz w:val="22"/>
      <w:szCs w:val="22"/>
      <w:lang w:val="fi-FI"/>
    </w:rPr>
  </w:style>
  <w:style w:type="character" w:customStyle="1" w:styleId="BodyTextChar">
    <w:name w:val="Body Text Char"/>
    <w:link w:val="BodyText"/>
    <w:rsid w:val="008828E0"/>
    <w:rPr>
      <w:rFonts w:eastAsia="Calibri"/>
      <w:sz w:val="22"/>
      <w:szCs w:val="22"/>
      <w:lang w:eastAsia="en-US"/>
    </w:rPr>
  </w:style>
  <w:style w:type="character" w:customStyle="1" w:styleId="ListParagraphChar">
    <w:name w:val="List Paragraph Char"/>
    <w:aliases w:val="- Bullets Char,?? ?? Char,????? Char,???? Char,목록 단락 Char,リスト段落 Char,列出段落 Char"/>
    <w:link w:val="ListParagraph"/>
    <w:uiPriority w:val="34"/>
    <w:qFormat/>
    <w:locked/>
    <w:rsid w:val="0050536B"/>
    <w:rPr>
      <w:rFonts w:ascii="Times New Roman" w:eastAsia="Times New Roman" w:hAnsi="Times New Roman"/>
      <w:lang w:val="en-GB" w:eastAsia="en-US"/>
    </w:rPr>
  </w:style>
  <w:style w:type="paragraph" w:customStyle="1" w:styleId="text">
    <w:name w:val="text"/>
    <w:basedOn w:val="Normal"/>
    <w:link w:val="textChar"/>
    <w:qFormat/>
    <w:rsid w:val="001628E5"/>
    <w:pPr>
      <w:spacing w:after="0"/>
    </w:pPr>
    <w:rPr>
      <w:rFonts w:ascii="Times" w:eastAsia="Batang" w:hAnsi="Times"/>
      <w:szCs w:val="24"/>
    </w:rPr>
  </w:style>
  <w:style w:type="character" w:customStyle="1" w:styleId="textChar">
    <w:name w:val="text Char"/>
    <w:link w:val="text"/>
    <w:rsid w:val="001628E5"/>
    <w:rPr>
      <w:rFonts w:ascii="Times" w:eastAsia="Batang" w:hAnsi="Times"/>
      <w:szCs w:val="24"/>
      <w:lang w:val="en-GB"/>
    </w:rPr>
  </w:style>
  <w:style w:type="paragraph" w:customStyle="1" w:styleId="EQ">
    <w:name w:val="EQ"/>
    <w:basedOn w:val="Normal"/>
    <w:next w:val="Normal"/>
    <w:link w:val="EQChar"/>
    <w:rsid w:val="006A663B"/>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rsid w:val="006A663B"/>
    <w:rPr>
      <w:rFonts w:ascii="Times New Roman" w:eastAsia="Times New Roman" w:hAnsi="Times New Roman"/>
      <w:noProof/>
      <w:lang w:val="en-GB" w:eastAsia="x-none"/>
    </w:rPr>
  </w:style>
  <w:style w:type="character" w:styleId="UnresolvedMention">
    <w:name w:val="Unresolved Mention"/>
    <w:uiPriority w:val="99"/>
    <w:semiHidden/>
    <w:unhideWhenUsed/>
    <w:rsid w:val="008C60A9"/>
    <w:rPr>
      <w:color w:val="808080"/>
      <w:shd w:val="clear" w:color="auto" w:fill="E6E6E6"/>
    </w:rPr>
  </w:style>
  <w:style w:type="character" w:styleId="FollowedHyperlink">
    <w:name w:val="FollowedHyperlink"/>
    <w:uiPriority w:val="99"/>
    <w:semiHidden/>
    <w:unhideWhenUsed/>
    <w:rsid w:val="008C60A9"/>
    <w:rPr>
      <w:color w:val="954F72"/>
      <w:u w:val="single"/>
    </w:rPr>
  </w:style>
  <w:style w:type="character" w:customStyle="1" w:styleId="Heading5Char">
    <w:name w:val="Heading 5 Char"/>
    <w:link w:val="Heading5"/>
    <w:uiPriority w:val="9"/>
    <w:semiHidden/>
    <w:rsid w:val="00AD628D"/>
    <w:rPr>
      <w:rFonts w:ascii="Calibri" w:eastAsia="Times New Roman" w:hAnsi="Calibri" w:cs="Times New Roman"/>
      <w:b/>
      <w:bCs/>
      <w:i/>
      <w:iCs/>
      <w:sz w:val="26"/>
      <w:szCs w:val="26"/>
      <w:lang w:val="en-GB"/>
    </w:rPr>
  </w:style>
  <w:style w:type="character" w:customStyle="1" w:styleId="TACChar">
    <w:name w:val="TAC Char"/>
    <w:link w:val="TAC"/>
    <w:locked/>
    <w:rsid w:val="00AD628D"/>
    <w:rPr>
      <w:rFonts w:ascii="Arial" w:hAnsi="Arial" w:cs="Arial"/>
      <w:sz w:val="18"/>
      <w:lang w:val="en-GB"/>
    </w:rPr>
  </w:style>
  <w:style w:type="paragraph" w:customStyle="1" w:styleId="TAC">
    <w:name w:val="TAC"/>
    <w:basedOn w:val="Normal"/>
    <w:link w:val="TACChar"/>
    <w:rsid w:val="00AD628D"/>
    <w:pPr>
      <w:keepNext/>
      <w:keepLines/>
      <w:overflowPunct w:val="0"/>
      <w:autoSpaceDE w:val="0"/>
      <w:autoSpaceDN w:val="0"/>
      <w:adjustRightInd w:val="0"/>
      <w:spacing w:after="0"/>
      <w:jc w:val="center"/>
    </w:pPr>
    <w:rPr>
      <w:rFonts w:ascii="Arial" w:eastAsia="MS Mincho" w:hAnsi="Arial" w:cs="Arial"/>
      <w:sz w:val="18"/>
    </w:rPr>
  </w:style>
  <w:style w:type="character" w:customStyle="1" w:styleId="THChar">
    <w:name w:val="TH Char"/>
    <w:link w:val="TH"/>
    <w:locked/>
    <w:rsid w:val="00AD628D"/>
    <w:rPr>
      <w:rFonts w:ascii="Arial" w:hAnsi="Arial" w:cs="Arial"/>
      <w:b/>
      <w:lang w:val="en-GB"/>
    </w:rPr>
  </w:style>
  <w:style w:type="paragraph" w:customStyle="1" w:styleId="TH">
    <w:name w:val="TH"/>
    <w:basedOn w:val="Normal"/>
    <w:next w:val="Normal"/>
    <w:link w:val="THChar"/>
    <w:rsid w:val="00AD628D"/>
    <w:pPr>
      <w:keepNext/>
      <w:keepLines/>
      <w:overflowPunct w:val="0"/>
      <w:autoSpaceDE w:val="0"/>
      <w:autoSpaceDN w:val="0"/>
      <w:adjustRightInd w:val="0"/>
      <w:spacing w:before="60"/>
      <w:jc w:val="center"/>
    </w:pPr>
    <w:rPr>
      <w:rFonts w:ascii="Arial" w:eastAsia="MS Mincho" w:hAnsi="Arial" w:cs="Arial"/>
      <w:b/>
    </w:rPr>
  </w:style>
  <w:style w:type="paragraph" w:customStyle="1" w:styleId="TAH">
    <w:name w:val="TAH"/>
    <w:basedOn w:val="TAC"/>
    <w:link w:val="TAHCar"/>
    <w:rsid w:val="00AD628D"/>
    <w:rPr>
      <w:b/>
    </w:rPr>
  </w:style>
  <w:style w:type="character" w:customStyle="1" w:styleId="TAHCar">
    <w:name w:val="TAH Car"/>
    <w:link w:val="TAH"/>
    <w:locked/>
    <w:rsid w:val="00AD628D"/>
    <w:rPr>
      <w:rFonts w:ascii="Arial" w:hAnsi="Arial" w:cs="Arial"/>
      <w:b/>
      <w:sz w:val="18"/>
      <w:lang w:val="en-GB"/>
    </w:rPr>
  </w:style>
  <w:style w:type="character" w:customStyle="1" w:styleId="Heading4Char">
    <w:name w:val="Heading 4 Char"/>
    <w:link w:val="Heading4"/>
    <w:uiPriority w:val="9"/>
    <w:semiHidden/>
    <w:rsid w:val="00420F4E"/>
    <w:rPr>
      <w:rFonts w:ascii="Calibri" w:eastAsia="Times New Roman" w:hAnsi="Calibri" w:cs="Times New Roman"/>
      <w:b/>
      <w:bCs/>
      <w:sz w:val="28"/>
      <w:szCs w:val="28"/>
      <w:lang w:val="en-GB"/>
    </w:rPr>
  </w:style>
  <w:style w:type="paragraph" w:customStyle="1" w:styleId="NO">
    <w:name w:val="NO"/>
    <w:basedOn w:val="Normal"/>
    <w:link w:val="NOChar"/>
    <w:rsid w:val="00E43709"/>
    <w:pPr>
      <w:keepLines/>
      <w:overflowPunct w:val="0"/>
      <w:autoSpaceDE w:val="0"/>
      <w:autoSpaceDN w:val="0"/>
      <w:adjustRightInd w:val="0"/>
      <w:ind w:left="1135" w:hanging="851"/>
      <w:textAlignment w:val="baseline"/>
    </w:pPr>
    <w:rPr>
      <w:lang w:eastAsia="x-none"/>
    </w:rPr>
  </w:style>
  <w:style w:type="character" w:customStyle="1" w:styleId="NOChar">
    <w:name w:val="NO Char"/>
    <w:link w:val="NO"/>
    <w:rsid w:val="00E43709"/>
    <w:rPr>
      <w:rFonts w:ascii="Times New Roman" w:eastAsia="Times New Roman" w:hAnsi="Times New Roman"/>
      <w:lang w:val="en-GB" w:eastAsia="x-none"/>
    </w:rPr>
  </w:style>
  <w:style w:type="paragraph" w:customStyle="1" w:styleId="B2">
    <w:name w:val="B2"/>
    <w:basedOn w:val="List2"/>
    <w:link w:val="B2Char"/>
    <w:rsid w:val="00E43709"/>
    <w:pPr>
      <w:overflowPunct w:val="0"/>
      <w:autoSpaceDE w:val="0"/>
      <w:autoSpaceDN w:val="0"/>
      <w:adjustRightInd w:val="0"/>
      <w:ind w:left="851" w:hanging="284"/>
      <w:contextualSpacing w:val="0"/>
      <w:textAlignment w:val="baseline"/>
    </w:pPr>
    <w:rPr>
      <w:lang w:eastAsia="x-none"/>
    </w:rPr>
  </w:style>
  <w:style w:type="character" w:customStyle="1" w:styleId="B2Char">
    <w:name w:val="B2 Char"/>
    <w:link w:val="B2"/>
    <w:rsid w:val="00E43709"/>
    <w:rPr>
      <w:rFonts w:ascii="Times New Roman" w:eastAsia="Times New Roman" w:hAnsi="Times New Roman"/>
      <w:lang w:val="en-GB" w:eastAsia="x-none"/>
    </w:rPr>
  </w:style>
  <w:style w:type="paragraph" w:styleId="List2">
    <w:name w:val="List 2"/>
    <w:basedOn w:val="Normal"/>
    <w:uiPriority w:val="99"/>
    <w:semiHidden/>
    <w:unhideWhenUsed/>
    <w:rsid w:val="00E43709"/>
    <w:pPr>
      <w:ind w:left="566" w:hanging="283"/>
      <w:contextualSpacing/>
    </w:pPr>
  </w:style>
  <w:style w:type="character" w:customStyle="1" w:styleId="CRCoverPageChar">
    <w:name w:val="CR Cover Page Char"/>
    <w:link w:val="CRCoverPage"/>
    <w:rsid w:val="00280DE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3909">
      <w:bodyDiv w:val="1"/>
      <w:marLeft w:val="0"/>
      <w:marRight w:val="0"/>
      <w:marTop w:val="0"/>
      <w:marBottom w:val="0"/>
      <w:divBdr>
        <w:top w:val="none" w:sz="0" w:space="0" w:color="auto"/>
        <w:left w:val="none" w:sz="0" w:space="0" w:color="auto"/>
        <w:bottom w:val="none" w:sz="0" w:space="0" w:color="auto"/>
        <w:right w:val="none" w:sz="0" w:space="0" w:color="auto"/>
      </w:divBdr>
    </w:div>
    <w:div w:id="55707456">
      <w:bodyDiv w:val="1"/>
      <w:marLeft w:val="0"/>
      <w:marRight w:val="0"/>
      <w:marTop w:val="0"/>
      <w:marBottom w:val="0"/>
      <w:divBdr>
        <w:top w:val="none" w:sz="0" w:space="0" w:color="auto"/>
        <w:left w:val="none" w:sz="0" w:space="0" w:color="auto"/>
        <w:bottom w:val="none" w:sz="0" w:space="0" w:color="auto"/>
        <w:right w:val="none" w:sz="0" w:space="0" w:color="auto"/>
      </w:divBdr>
      <w:divsChild>
        <w:div w:id="457644244">
          <w:marLeft w:val="0"/>
          <w:marRight w:val="0"/>
          <w:marTop w:val="0"/>
          <w:marBottom w:val="0"/>
          <w:divBdr>
            <w:top w:val="none" w:sz="0" w:space="0" w:color="auto"/>
            <w:left w:val="none" w:sz="0" w:space="0" w:color="auto"/>
            <w:bottom w:val="none" w:sz="0" w:space="0" w:color="auto"/>
            <w:right w:val="none" w:sz="0" w:space="0" w:color="auto"/>
          </w:divBdr>
          <w:divsChild>
            <w:div w:id="2040624787">
              <w:marLeft w:val="0"/>
              <w:marRight w:val="0"/>
              <w:marTop w:val="0"/>
              <w:marBottom w:val="0"/>
              <w:divBdr>
                <w:top w:val="none" w:sz="0" w:space="0" w:color="auto"/>
                <w:left w:val="none" w:sz="0" w:space="0" w:color="auto"/>
                <w:bottom w:val="none" w:sz="0" w:space="0" w:color="auto"/>
                <w:right w:val="none" w:sz="0" w:space="0" w:color="auto"/>
              </w:divBdr>
              <w:divsChild>
                <w:div w:id="36899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56098">
      <w:bodyDiv w:val="1"/>
      <w:marLeft w:val="0"/>
      <w:marRight w:val="0"/>
      <w:marTop w:val="0"/>
      <w:marBottom w:val="0"/>
      <w:divBdr>
        <w:top w:val="none" w:sz="0" w:space="0" w:color="auto"/>
        <w:left w:val="none" w:sz="0" w:space="0" w:color="auto"/>
        <w:bottom w:val="none" w:sz="0" w:space="0" w:color="auto"/>
        <w:right w:val="none" w:sz="0" w:space="0" w:color="auto"/>
      </w:divBdr>
      <w:divsChild>
        <w:div w:id="9259675">
          <w:marLeft w:val="446"/>
          <w:marRight w:val="0"/>
          <w:marTop w:val="0"/>
          <w:marBottom w:val="180"/>
          <w:divBdr>
            <w:top w:val="none" w:sz="0" w:space="0" w:color="auto"/>
            <w:left w:val="none" w:sz="0" w:space="0" w:color="auto"/>
            <w:bottom w:val="none" w:sz="0" w:space="0" w:color="auto"/>
            <w:right w:val="none" w:sz="0" w:space="0" w:color="auto"/>
          </w:divBdr>
        </w:div>
        <w:div w:id="216622630">
          <w:marLeft w:val="1166"/>
          <w:marRight w:val="0"/>
          <w:marTop w:val="0"/>
          <w:marBottom w:val="180"/>
          <w:divBdr>
            <w:top w:val="none" w:sz="0" w:space="0" w:color="auto"/>
            <w:left w:val="none" w:sz="0" w:space="0" w:color="auto"/>
            <w:bottom w:val="none" w:sz="0" w:space="0" w:color="auto"/>
            <w:right w:val="none" w:sz="0" w:space="0" w:color="auto"/>
          </w:divBdr>
        </w:div>
        <w:div w:id="382943240">
          <w:marLeft w:val="1166"/>
          <w:marRight w:val="0"/>
          <w:marTop w:val="0"/>
          <w:marBottom w:val="180"/>
          <w:divBdr>
            <w:top w:val="none" w:sz="0" w:space="0" w:color="auto"/>
            <w:left w:val="none" w:sz="0" w:space="0" w:color="auto"/>
            <w:bottom w:val="none" w:sz="0" w:space="0" w:color="auto"/>
            <w:right w:val="none" w:sz="0" w:space="0" w:color="auto"/>
          </w:divBdr>
        </w:div>
        <w:div w:id="1327125244">
          <w:marLeft w:val="1166"/>
          <w:marRight w:val="0"/>
          <w:marTop w:val="0"/>
          <w:marBottom w:val="180"/>
          <w:divBdr>
            <w:top w:val="none" w:sz="0" w:space="0" w:color="auto"/>
            <w:left w:val="none" w:sz="0" w:space="0" w:color="auto"/>
            <w:bottom w:val="none" w:sz="0" w:space="0" w:color="auto"/>
            <w:right w:val="none" w:sz="0" w:space="0" w:color="auto"/>
          </w:divBdr>
        </w:div>
        <w:div w:id="2011787535">
          <w:marLeft w:val="446"/>
          <w:marRight w:val="0"/>
          <w:marTop w:val="0"/>
          <w:marBottom w:val="180"/>
          <w:divBdr>
            <w:top w:val="none" w:sz="0" w:space="0" w:color="auto"/>
            <w:left w:val="none" w:sz="0" w:space="0" w:color="auto"/>
            <w:bottom w:val="none" w:sz="0" w:space="0" w:color="auto"/>
            <w:right w:val="none" w:sz="0" w:space="0" w:color="auto"/>
          </w:divBdr>
        </w:div>
      </w:divsChild>
    </w:div>
    <w:div w:id="70933494">
      <w:bodyDiv w:val="1"/>
      <w:marLeft w:val="0"/>
      <w:marRight w:val="0"/>
      <w:marTop w:val="0"/>
      <w:marBottom w:val="0"/>
      <w:divBdr>
        <w:top w:val="none" w:sz="0" w:space="0" w:color="auto"/>
        <w:left w:val="none" w:sz="0" w:space="0" w:color="auto"/>
        <w:bottom w:val="none" w:sz="0" w:space="0" w:color="auto"/>
        <w:right w:val="none" w:sz="0" w:space="0" w:color="auto"/>
      </w:divBdr>
    </w:div>
    <w:div w:id="99373301">
      <w:bodyDiv w:val="1"/>
      <w:marLeft w:val="0"/>
      <w:marRight w:val="0"/>
      <w:marTop w:val="0"/>
      <w:marBottom w:val="0"/>
      <w:divBdr>
        <w:top w:val="none" w:sz="0" w:space="0" w:color="auto"/>
        <w:left w:val="none" w:sz="0" w:space="0" w:color="auto"/>
        <w:bottom w:val="none" w:sz="0" w:space="0" w:color="auto"/>
        <w:right w:val="none" w:sz="0" w:space="0" w:color="auto"/>
      </w:divBdr>
      <w:divsChild>
        <w:div w:id="769200990">
          <w:marLeft w:val="274"/>
          <w:marRight w:val="0"/>
          <w:marTop w:val="240"/>
          <w:marBottom w:val="0"/>
          <w:divBdr>
            <w:top w:val="none" w:sz="0" w:space="0" w:color="auto"/>
            <w:left w:val="none" w:sz="0" w:space="0" w:color="auto"/>
            <w:bottom w:val="none" w:sz="0" w:space="0" w:color="auto"/>
            <w:right w:val="none" w:sz="0" w:space="0" w:color="auto"/>
          </w:divBdr>
        </w:div>
      </w:divsChild>
    </w:div>
    <w:div w:id="110787276">
      <w:bodyDiv w:val="1"/>
      <w:marLeft w:val="0"/>
      <w:marRight w:val="0"/>
      <w:marTop w:val="0"/>
      <w:marBottom w:val="0"/>
      <w:divBdr>
        <w:top w:val="none" w:sz="0" w:space="0" w:color="auto"/>
        <w:left w:val="none" w:sz="0" w:space="0" w:color="auto"/>
        <w:bottom w:val="none" w:sz="0" w:space="0" w:color="auto"/>
        <w:right w:val="none" w:sz="0" w:space="0" w:color="auto"/>
      </w:divBdr>
    </w:div>
    <w:div w:id="117451587">
      <w:bodyDiv w:val="1"/>
      <w:marLeft w:val="0"/>
      <w:marRight w:val="0"/>
      <w:marTop w:val="0"/>
      <w:marBottom w:val="0"/>
      <w:divBdr>
        <w:top w:val="none" w:sz="0" w:space="0" w:color="auto"/>
        <w:left w:val="none" w:sz="0" w:space="0" w:color="auto"/>
        <w:bottom w:val="none" w:sz="0" w:space="0" w:color="auto"/>
        <w:right w:val="none" w:sz="0" w:space="0" w:color="auto"/>
      </w:divBdr>
    </w:div>
    <w:div w:id="118956107">
      <w:bodyDiv w:val="1"/>
      <w:marLeft w:val="0"/>
      <w:marRight w:val="0"/>
      <w:marTop w:val="0"/>
      <w:marBottom w:val="0"/>
      <w:divBdr>
        <w:top w:val="none" w:sz="0" w:space="0" w:color="auto"/>
        <w:left w:val="none" w:sz="0" w:space="0" w:color="auto"/>
        <w:bottom w:val="none" w:sz="0" w:space="0" w:color="auto"/>
        <w:right w:val="none" w:sz="0" w:space="0" w:color="auto"/>
      </w:divBdr>
    </w:div>
    <w:div w:id="168913171">
      <w:bodyDiv w:val="1"/>
      <w:marLeft w:val="0"/>
      <w:marRight w:val="0"/>
      <w:marTop w:val="0"/>
      <w:marBottom w:val="0"/>
      <w:divBdr>
        <w:top w:val="none" w:sz="0" w:space="0" w:color="auto"/>
        <w:left w:val="none" w:sz="0" w:space="0" w:color="auto"/>
        <w:bottom w:val="none" w:sz="0" w:space="0" w:color="auto"/>
        <w:right w:val="none" w:sz="0" w:space="0" w:color="auto"/>
      </w:divBdr>
    </w:div>
    <w:div w:id="182985058">
      <w:bodyDiv w:val="1"/>
      <w:marLeft w:val="0"/>
      <w:marRight w:val="0"/>
      <w:marTop w:val="0"/>
      <w:marBottom w:val="0"/>
      <w:divBdr>
        <w:top w:val="none" w:sz="0" w:space="0" w:color="auto"/>
        <w:left w:val="none" w:sz="0" w:space="0" w:color="auto"/>
        <w:bottom w:val="none" w:sz="0" w:space="0" w:color="auto"/>
        <w:right w:val="none" w:sz="0" w:space="0" w:color="auto"/>
      </w:divBdr>
    </w:div>
    <w:div w:id="194583695">
      <w:bodyDiv w:val="1"/>
      <w:marLeft w:val="0"/>
      <w:marRight w:val="0"/>
      <w:marTop w:val="0"/>
      <w:marBottom w:val="0"/>
      <w:divBdr>
        <w:top w:val="none" w:sz="0" w:space="0" w:color="auto"/>
        <w:left w:val="none" w:sz="0" w:space="0" w:color="auto"/>
        <w:bottom w:val="none" w:sz="0" w:space="0" w:color="auto"/>
        <w:right w:val="none" w:sz="0" w:space="0" w:color="auto"/>
      </w:divBdr>
      <w:divsChild>
        <w:div w:id="478233575">
          <w:marLeft w:val="446"/>
          <w:marRight w:val="0"/>
          <w:marTop w:val="0"/>
          <w:marBottom w:val="120"/>
          <w:divBdr>
            <w:top w:val="none" w:sz="0" w:space="0" w:color="auto"/>
            <w:left w:val="none" w:sz="0" w:space="0" w:color="auto"/>
            <w:bottom w:val="none" w:sz="0" w:space="0" w:color="auto"/>
            <w:right w:val="none" w:sz="0" w:space="0" w:color="auto"/>
          </w:divBdr>
        </w:div>
        <w:div w:id="2019696648">
          <w:marLeft w:val="446"/>
          <w:marRight w:val="0"/>
          <w:marTop w:val="0"/>
          <w:marBottom w:val="120"/>
          <w:divBdr>
            <w:top w:val="none" w:sz="0" w:space="0" w:color="auto"/>
            <w:left w:val="none" w:sz="0" w:space="0" w:color="auto"/>
            <w:bottom w:val="none" w:sz="0" w:space="0" w:color="auto"/>
            <w:right w:val="none" w:sz="0" w:space="0" w:color="auto"/>
          </w:divBdr>
        </w:div>
      </w:divsChild>
    </w:div>
    <w:div w:id="200167278">
      <w:bodyDiv w:val="1"/>
      <w:marLeft w:val="0"/>
      <w:marRight w:val="0"/>
      <w:marTop w:val="0"/>
      <w:marBottom w:val="0"/>
      <w:divBdr>
        <w:top w:val="none" w:sz="0" w:space="0" w:color="auto"/>
        <w:left w:val="none" w:sz="0" w:space="0" w:color="auto"/>
        <w:bottom w:val="none" w:sz="0" w:space="0" w:color="auto"/>
        <w:right w:val="none" w:sz="0" w:space="0" w:color="auto"/>
      </w:divBdr>
    </w:div>
    <w:div w:id="212892714">
      <w:bodyDiv w:val="1"/>
      <w:marLeft w:val="0"/>
      <w:marRight w:val="0"/>
      <w:marTop w:val="0"/>
      <w:marBottom w:val="0"/>
      <w:divBdr>
        <w:top w:val="none" w:sz="0" w:space="0" w:color="auto"/>
        <w:left w:val="none" w:sz="0" w:space="0" w:color="auto"/>
        <w:bottom w:val="none" w:sz="0" w:space="0" w:color="auto"/>
        <w:right w:val="none" w:sz="0" w:space="0" w:color="auto"/>
      </w:divBdr>
    </w:div>
    <w:div w:id="239826032">
      <w:bodyDiv w:val="1"/>
      <w:marLeft w:val="0"/>
      <w:marRight w:val="0"/>
      <w:marTop w:val="0"/>
      <w:marBottom w:val="0"/>
      <w:divBdr>
        <w:top w:val="none" w:sz="0" w:space="0" w:color="auto"/>
        <w:left w:val="none" w:sz="0" w:space="0" w:color="auto"/>
        <w:bottom w:val="none" w:sz="0" w:space="0" w:color="auto"/>
        <w:right w:val="none" w:sz="0" w:space="0" w:color="auto"/>
      </w:divBdr>
    </w:div>
    <w:div w:id="258030036">
      <w:bodyDiv w:val="1"/>
      <w:marLeft w:val="0"/>
      <w:marRight w:val="0"/>
      <w:marTop w:val="0"/>
      <w:marBottom w:val="0"/>
      <w:divBdr>
        <w:top w:val="none" w:sz="0" w:space="0" w:color="auto"/>
        <w:left w:val="none" w:sz="0" w:space="0" w:color="auto"/>
        <w:bottom w:val="none" w:sz="0" w:space="0" w:color="auto"/>
        <w:right w:val="none" w:sz="0" w:space="0" w:color="auto"/>
      </w:divBdr>
    </w:div>
    <w:div w:id="294406409">
      <w:bodyDiv w:val="1"/>
      <w:marLeft w:val="0"/>
      <w:marRight w:val="0"/>
      <w:marTop w:val="0"/>
      <w:marBottom w:val="0"/>
      <w:divBdr>
        <w:top w:val="none" w:sz="0" w:space="0" w:color="auto"/>
        <w:left w:val="none" w:sz="0" w:space="0" w:color="auto"/>
        <w:bottom w:val="none" w:sz="0" w:space="0" w:color="auto"/>
        <w:right w:val="none" w:sz="0" w:space="0" w:color="auto"/>
      </w:divBdr>
    </w:div>
    <w:div w:id="318773313">
      <w:bodyDiv w:val="1"/>
      <w:marLeft w:val="0"/>
      <w:marRight w:val="0"/>
      <w:marTop w:val="0"/>
      <w:marBottom w:val="0"/>
      <w:divBdr>
        <w:top w:val="none" w:sz="0" w:space="0" w:color="auto"/>
        <w:left w:val="none" w:sz="0" w:space="0" w:color="auto"/>
        <w:bottom w:val="none" w:sz="0" w:space="0" w:color="auto"/>
        <w:right w:val="none" w:sz="0" w:space="0" w:color="auto"/>
      </w:divBdr>
    </w:div>
    <w:div w:id="335423697">
      <w:bodyDiv w:val="1"/>
      <w:marLeft w:val="0"/>
      <w:marRight w:val="0"/>
      <w:marTop w:val="0"/>
      <w:marBottom w:val="0"/>
      <w:divBdr>
        <w:top w:val="none" w:sz="0" w:space="0" w:color="auto"/>
        <w:left w:val="none" w:sz="0" w:space="0" w:color="auto"/>
        <w:bottom w:val="none" w:sz="0" w:space="0" w:color="auto"/>
        <w:right w:val="none" w:sz="0" w:space="0" w:color="auto"/>
      </w:divBdr>
    </w:div>
    <w:div w:id="384574302">
      <w:bodyDiv w:val="1"/>
      <w:marLeft w:val="0"/>
      <w:marRight w:val="0"/>
      <w:marTop w:val="0"/>
      <w:marBottom w:val="0"/>
      <w:divBdr>
        <w:top w:val="none" w:sz="0" w:space="0" w:color="auto"/>
        <w:left w:val="none" w:sz="0" w:space="0" w:color="auto"/>
        <w:bottom w:val="none" w:sz="0" w:space="0" w:color="auto"/>
        <w:right w:val="none" w:sz="0" w:space="0" w:color="auto"/>
      </w:divBdr>
      <w:divsChild>
        <w:div w:id="248076668">
          <w:marLeft w:val="446"/>
          <w:marRight w:val="0"/>
          <w:marTop w:val="0"/>
          <w:marBottom w:val="120"/>
          <w:divBdr>
            <w:top w:val="none" w:sz="0" w:space="0" w:color="auto"/>
            <w:left w:val="none" w:sz="0" w:space="0" w:color="auto"/>
            <w:bottom w:val="none" w:sz="0" w:space="0" w:color="auto"/>
            <w:right w:val="none" w:sz="0" w:space="0" w:color="auto"/>
          </w:divBdr>
        </w:div>
      </w:divsChild>
    </w:div>
    <w:div w:id="415833171">
      <w:bodyDiv w:val="1"/>
      <w:marLeft w:val="0"/>
      <w:marRight w:val="0"/>
      <w:marTop w:val="0"/>
      <w:marBottom w:val="0"/>
      <w:divBdr>
        <w:top w:val="none" w:sz="0" w:space="0" w:color="auto"/>
        <w:left w:val="none" w:sz="0" w:space="0" w:color="auto"/>
        <w:bottom w:val="none" w:sz="0" w:space="0" w:color="auto"/>
        <w:right w:val="none" w:sz="0" w:space="0" w:color="auto"/>
      </w:divBdr>
      <w:divsChild>
        <w:div w:id="678846875">
          <w:marLeft w:val="360"/>
          <w:marRight w:val="0"/>
          <w:marTop w:val="200"/>
          <w:marBottom w:val="0"/>
          <w:divBdr>
            <w:top w:val="none" w:sz="0" w:space="0" w:color="auto"/>
            <w:left w:val="none" w:sz="0" w:space="0" w:color="auto"/>
            <w:bottom w:val="none" w:sz="0" w:space="0" w:color="auto"/>
            <w:right w:val="none" w:sz="0" w:space="0" w:color="auto"/>
          </w:divBdr>
        </w:div>
        <w:div w:id="814642646">
          <w:marLeft w:val="360"/>
          <w:marRight w:val="0"/>
          <w:marTop w:val="200"/>
          <w:marBottom w:val="0"/>
          <w:divBdr>
            <w:top w:val="none" w:sz="0" w:space="0" w:color="auto"/>
            <w:left w:val="none" w:sz="0" w:space="0" w:color="auto"/>
            <w:bottom w:val="none" w:sz="0" w:space="0" w:color="auto"/>
            <w:right w:val="none" w:sz="0" w:space="0" w:color="auto"/>
          </w:divBdr>
        </w:div>
      </w:divsChild>
    </w:div>
    <w:div w:id="464390107">
      <w:bodyDiv w:val="1"/>
      <w:marLeft w:val="0"/>
      <w:marRight w:val="0"/>
      <w:marTop w:val="0"/>
      <w:marBottom w:val="0"/>
      <w:divBdr>
        <w:top w:val="none" w:sz="0" w:space="0" w:color="auto"/>
        <w:left w:val="none" w:sz="0" w:space="0" w:color="auto"/>
        <w:bottom w:val="none" w:sz="0" w:space="0" w:color="auto"/>
        <w:right w:val="none" w:sz="0" w:space="0" w:color="auto"/>
      </w:divBdr>
    </w:div>
    <w:div w:id="488520208">
      <w:bodyDiv w:val="1"/>
      <w:marLeft w:val="0"/>
      <w:marRight w:val="0"/>
      <w:marTop w:val="0"/>
      <w:marBottom w:val="0"/>
      <w:divBdr>
        <w:top w:val="none" w:sz="0" w:space="0" w:color="auto"/>
        <w:left w:val="none" w:sz="0" w:space="0" w:color="auto"/>
        <w:bottom w:val="none" w:sz="0" w:space="0" w:color="auto"/>
        <w:right w:val="none" w:sz="0" w:space="0" w:color="auto"/>
      </w:divBdr>
    </w:div>
    <w:div w:id="503323688">
      <w:bodyDiv w:val="1"/>
      <w:marLeft w:val="0"/>
      <w:marRight w:val="0"/>
      <w:marTop w:val="0"/>
      <w:marBottom w:val="0"/>
      <w:divBdr>
        <w:top w:val="none" w:sz="0" w:space="0" w:color="auto"/>
        <w:left w:val="none" w:sz="0" w:space="0" w:color="auto"/>
        <w:bottom w:val="none" w:sz="0" w:space="0" w:color="auto"/>
        <w:right w:val="none" w:sz="0" w:space="0" w:color="auto"/>
      </w:divBdr>
      <w:divsChild>
        <w:div w:id="601840151">
          <w:marLeft w:val="446"/>
          <w:marRight w:val="0"/>
          <w:marTop w:val="0"/>
          <w:marBottom w:val="120"/>
          <w:divBdr>
            <w:top w:val="none" w:sz="0" w:space="0" w:color="auto"/>
            <w:left w:val="none" w:sz="0" w:space="0" w:color="auto"/>
            <w:bottom w:val="none" w:sz="0" w:space="0" w:color="auto"/>
            <w:right w:val="none" w:sz="0" w:space="0" w:color="auto"/>
          </w:divBdr>
        </w:div>
        <w:div w:id="630719607">
          <w:marLeft w:val="446"/>
          <w:marRight w:val="0"/>
          <w:marTop w:val="0"/>
          <w:marBottom w:val="120"/>
          <w:divBdr>
            <w:top w:val="none" w:sz="0" w:space="0" w:color="auto"/>
            <w:left w:val="none" w:sz="0" w:space="0" w:color="auto"/>
            <w:bottom w:val="none" w:sz="0" w:space="0" w:color="auto"/>
            <w:right w:val="none" w:sz="0" w:space="0" w:color="auto"/>
          </w:divBdr>
        </w:div>
        <w:div w:id="1609119999">
          <w:marLeft w:val="446"/>
          <w:marRight w:val="0"/>
          <w:marTop w:val="0"/>
          <w:marBottom w:val="120"/>
          <w:divBdr>
            <w:top w:val="none" w:sz="0" w:space="0" w:color="auto"/>
            <w:left w:val="none" w:sz="0" w:space="0" w:color="auto"/>
            <w:bottom w:val="none" w:sz="0" w:space="0" w:color="auto"/>
            <w:right w:val="none" w:sz="0" w:space="0" w:color="auto"/>
          </w:divBdr>
        </w:div>
        <w:div w:id="1638683015">
          <w:marLeft w:val="446"/>
          <w:marRight w:val="0"/>
          <w:marTop w:val="0"/>
          <w:marBottom w:val="120"/>
          <w:divBdr>
            <w:top w:val="none" w:sz="0" w:space="0" w:color="auto"/>
            <w:left w:val="none" w:sz="0" w:space="0" w:color="auto"/>
            <w:bottom w:val="none" w:sz="0" w:space="0" w:color="auto"/>
            <w:right w:val="none" w:sz="0" w:space="0" w:color="auto"/>
          </w:divBdr>
        </w:div>
      </w:divsChild>
    </w:div>
    <w:div w:id="516188686">
      <w:bodyDiv w:val="1"/>
      <w:marLeft w:val="0"/>
      <w:marRight w:val="0"/>
      <w:marTop w:val="0"/>
      <w:marBottom w:val="0"/>
      <w:divBdr>
        <w:top w:val="none" w:sz="0" w:space="0" w:color="auto"/>
        <w:left w:val="none" w:sz="0" w:space="0" w:color="auto"/>
        <w:bottom w:val="none" w:sz="0" w:space="0" w:color="auto"/>
        <w:right w:val="none" w:sz="0" w:space="0" w:color="auto"/>
      </w:divBdr>
    </w:div>
    <w:div w:id="545794828">
      <w:bodyDiv w:val="1"/>
      <w:marLeft w:val="0"/>
      <w:marRight w:val="0"/>
      <w:marTop w:val="0"/>
      <w:marBottom w:val="0"/>
      <w:divBdr>
        <w:top w:val="none" w:sz="0" w:space="0" w:color="auto"/>
        <w:left w:val="none" w:sz="0" w:space="0" w:color="auto"/>
        <w:bottom w:val="none" w:sz="0" w:space="0" w:color="auto"/>
        <w:right w:val="none" w:sz="0" w:space="0" w:color="auto"/>
      </w:divBdr>
      <w:divsChild>
        <w:div w:id="86080485">
          <w:marLeft w:val="1166"/>
          <w:marRight w:val="0"/>
          <w:marTop w:val="125"/>
          <w:marBottom w:val="0"/>
          <w:divBdr>
            <w:top w:val="none" w:sz="0" w:space="0" w:color="auto"/>
            <w:left w:val="none" w:sz="0" w:space="0" w:color="auto"/>
            <w:bottom w:val="none" w:sz="0" w:space="0" w:color="auto"/>
            <w:right w:val="none" w:sz="0" w:space="0" w:color="auto"/>
          </w:divBdr>
        </w:div>
        <w:div w:id="240339501">
          <w:marLeft w:val="547"/>
          <w:marRight w:val="0"/>
          <w:marTop w:val="144"/>
          <w:marBottom w:val="0"/>
          <w:divBdr>
            <w:top w:val="none" w:sz="0" w:space="0" w:color="auto"/>
            <w:left w:val="none" w:sz="0" w:space="0" w:color="auto"/>
            <w:bottom w:val="none" w:sz="0" w:space="0" w:color="auto"/>
            <w:right w:val="none" w:sz="0" w:space="0" w:color="auto"/>
          </w:divBdr>
        </w:div>
        <w:div w:id="1230578312">
          <w:marLeft w:val="1166"/>
          <w:marRight w:val="0"/>
          <w:marTop w:val="125"/>
          <w:marBottom w:val="0"/>
          <w:divBdr>
            <w:top w:val="none" w:sz="0" w:space="0" w:color="auto"/>
            <w:left w:val="none" w:sz="0" w:space="0" w:color="auto"/>
            <w:bottom w:val="none" w:sz="0" w:space="0" w:color="auto"/>
            <w:right w:val="none" w:sz="0" w:space="0" w:color="auto"/>
          </w:divBdr>
        </w:div>
        <w:div w:id="1420445366">
          <w:marLeft w:val="547"/>
          <w:marRight w:val="0"/>
          <w:marTop w:val="144"/>
          <w:marBottom w:val="0"/>
          <w:divBdr>
            <w:top w:val="none" w:sz="0" w:space="0" w:color="auto"/>
            <w:left w:val="none" w:sz="0" w:space="0" w:color="auto"/>
            <w:bottom w:val="none" w:sz="0" w:space="0" w:color="auto"/>
            <w:right w:val="none" w:sz="0" w:space="0" w:color="auto"/>
          </w:divBdr>
        </w:div>
        <w:div w:id="1592549634">
          <w:marLeft w:val="547"/>
          <w:marRight w:val="0"/>
          <w:marTop w:val="144"/>
          <w:marBottom w:val="0"/>
          <w:divBdr>
            <w:top w:val="none" w:sz="0" w:space="0" w:color="auto"/>
            <w:left w:val="none" w:sz="0" w:space="0" w:color="auto"/>
            <w:bottom w:val="none" w:sz="0" w:space="0" w:color="auto"/>
            <w:right w:val="none" w:sz="0" w:space="0" w:color="auto"/>
          </w:divBdr>
        </w:div>
        <w:div w:id="1748921740">
          <w:marLeft w:val="1166"/>
          <w:marRight w:val="0"/>
          <w:marTop w:val="125"/>
          <w:marBottom w:val="0"/>
          <w:divBdr>
            <w:top w:val="none" w:sz="0" w:space="0" w:color="auto"/>
            <w:left w:val="none" w:sz="0" w:space="0" w:color="auto"/>
            <w:bottom w:val="none" w:sz="0" w:space="0" w:color="auto"/>
            <w:right w:val="none" w:sz="0" w:space="0" w:color="auto"/>
          </w:divBdr>
        </w:div>
      </w:divsChild>
    </w:div>
    <w:div w:id="566766304">
      <w:bodyDiv w:val="1"/>
      <w:marLeft w:val="0"/>
      <w:marRight w:val="0"/>
      <w:marTop w:val="0"/>
      <w:marBottom w:val="0"/>
      <w:divBdr>
        <w:top w:val="none" w:sz="0" w:space="0" w:color="auto"/>
        <w:left w:val="none" w:sz="0" w:space="0" w:color="auto"/>
        <w:bottom w:val="none" w:sz="0" w:space="0" w:color="auto"/>
        <w:right w:val="none" w:sz="0" w:space="0" w:color="auto"/>
      </w:divBdr>
    </w:div>
    <w:div w:id="575550213">
      <w:bodyDiv w:val="1"/>
      <w:marLeft w:val="0"/>
      <w:marRight w:val="0"/>
      <w:marTop w:val="0"/>
      <w:marBottom w:val="0"/>
      <w:divBdr>
        <w:top w:val="none" w:sz="0" w:space="0" w:color="auto"/>
        <w:left w:val="none" w:sz="0" w:space="0" w:color="auto"/>
        <w:bottom w:val="none" w:sz="0" w:space="0" w:color="auto"/>
        <w:right w:val="none" w:sz="0" w:space="0" w:color="auto"/>
      </w:divBdr>
    </w:div>
    <w:div w:id="584994847">
      <w:bodyDiv w:val="1"/>
      <w:marLeft w:val="0"/>
      <w:marRight w:val="0"/>
      <w:marTop w:val="0"/>
      <w:marBottom w:val="0"/>
      <w:divBdr>
        <w:top w:val="none" w:sz="0" w:space="0" w:color="auto"/>
        <w:left w:val="none" w:sz="0" w:space="0" w:color="auto"/>
        <w:bottom w:val="none" w:sz="0" w:space="0" w:color="auto"/>
        <w:right w:val="none" w:sz="0" w:space="0" w:color="auto"/>
      </w:divBdr>
    </w:div>
    <w:div w:id="593172568">
      <w:bodyDiv w:val="1"/>
      <w:marLeft w:val="0"/>
      <w:marRight w:val="0"/>
      <w:marTop w:val="0"/>
      <w:marBottom w:val="0"/>
      <w:divBdr>
        <w:top w:val="none" w:sz="0" w:space="0" w:color="auto"/>
        <w:left w:val="none" w:sz="0" w:space="0" w:color="auto"/>
        <w:bottom w:val="none" w:sz="0" w:space="0" w:color="auto"/>
        <w:right w:val="none" w:sz="0" w:space="0" w:color="auto"/>
      </w:divBdr>
    </w:div>
    <w:div w:id="647784045">
      <w:bodyDiv w:val="1"/>
      <w:marLeft w:val="0"/>
      <w:marRight w:val="0"/>
      <w:marTop w:val="0"/>
      <w:marBottom w:val="0"/>
      <w:divBdr>
        <w:top w:val="none" w:sz="0" w:space="0" w:color="auto"/>
        <w:left w:val="none" w:sz="0" w:space="0" w:color="auto"/>
        <w:bottom w:val="none" w:sz="0" w:space="0" w:color="auto"/>
        <w:right w:val="none" w:sz="0" w:space="0" w:color="auto"/>
      </w:divBdr>
    </w:div>
    <w:div w:id="676738210">
      <w:bodyDiv w:val="1"/>
      <w:marLeft w:val="0"/>
      <w:marRight w:val="0"/>
      <w:marTop w:val="0"/>
      <w:marBottom w:val="0"/>
      <w:divBdr>
        <w:top w:val="none" w:sz="0" w:space="0" w:color="auto"/>
        <w:left w:val="none" w:sz="0" w:space="0" w:color="auto"/>
        <w:bottom w:val="none" w:sz="0" w:space="0" w:color="auto"/>
        <w:right w:val="none" w:sz="0" w:space="0" w:color="auto"/>
      </w:divBdr>
    </w:div>
    <w:div w:id="680932854">
      <w:bodyDiv w:val="1"/>
      <w:marLeft w:val="0"/>
      <w:marRight w:val="0"/>
      <w:marTop w:val="0"/>
      <w:marBottom w:val="0"/>
      <w:divBdr>
        <w:top w:val="none" w:sz="0" w:space="0" w:color="auto"/>
        <w:left w:val="none" w:sz="0" w:space="0" w:color="auto"/>
        <w:bottom w:val="none" w:sz="0" w:space="0" w:color="auto"/>
        <w:right w:val="none" w:sz="0" w:space="0" w:color="auto"/>
      </w:divBdr>
      <w:divsChild>
        <w:div w:id="1091776482">
          <w:marLeft w:val="446"/>
          <w:marRight w:val="0"/>
          <w:marTop w:val="0"/>
          <w:marBottom w:val="120"/>
          <w:divBdr>
            <w:top w:val="none" w:sz="0" w:space="0" w:color="auto"/>
            <w:left w:val="none" w:sz="0" w:space="0" w:color="auto"/>
            <w:bottom w:val="none" w:sz="0" w:space="0" w:color="auto"/>
            <w:right w:val="none" w:sz="0" w:space="0" w:color="auto"/>
          </w:divBdr>
        </w:div>
        <w:div w:id="1390614023">
          <w:marLeft w:val="446"/>
          <w:marRight w:val="0"/>
          <w:marTop w:val="0"/>
          <w:marBottom w:val="120"/>
          <w:divBdr>
            <w:top w:val="none" w:sz="0" w:space="0" w:color="auto"/>
            <w:left w:val="none" w:sz="0" w:space="0" w:color="auto"/>
            <w:bottom w:val="none" w:sz="0" w:space="0" w:color="auto"/>
            <w:right w:val="none" w:sz="0" w:space="0" w:color="auto"/>
          </w:divBdr>
        </w:div>
      </w:divsChild>
    </w:div>
    <w:div w:id="690299225">
      <w:bodyDiv w:val="1"/>
      <w:marLeft w:val="0"/>
      <w:marRight w:val="0"/>
      <w:marTop w:val="0"/>
      <w:marBottom w:val="0"/>
      <w:divBdr>
        <w:top w:val="none" w:sz="0" w:space="0" w:color="auto"/>
        <w:left w:val="none" w:sz="0" w:space="0" w:color="auto"/>
        <w:bottom w:val="none" w:sz="0" w:space="0" w:color="auto"/>
        <w:right w:val="none" w:sz="0" w:space="0" w:color="auto"/>
      </w:divBdr>
    </w:div>
    <w:div w:id="698891124">
      <w:bodyDiv w:val="1"/>
      <w:marLeft w:val="0"/>
      <w:marRight w:val="0"/>
      <w:marTop w:val="0"/>
      <w:marBottom w:val="0"/>
      <w:divBdr>
        <w:top w:val="none" w:sz="0" w:space="0" w:color="auto"/>
        <w:left w:val="none" w:sz="0" w:space="0" w:color="auto"/>
        <w:bottom w:val="none" w:sz="0" w:space="0" w:color="auto"/>
        <w:right w:val="none" w:sz="0" w:space="0" w:color="auto"/>
      </w:divBdr>
    </w:div>
    <w:div w:id="703866719">
      <w:bodyDiv w:val="1"/>
      <w:marLeft w:val="0"/>
      <w:marRight w:val="0"/>
      <w:marTop w:val="0"/>
      <w:marBottom w:val="0"/>
      <w:divBdr>
        <w:top w:val="none" w:sz="0" w:space="0" w:color="auto"/>
        <w:left w:val="none" w:sz="0" w:space="0" w:color="auto"/>
        <w:bottom w:val="none" w:sz="0" w:space="0" w:color="auto"/>
        <w:right w:val="none" w:sz="0" w:space="0" w:color="auto"/>
      </w:divBdr>
    </w:div>
    <w:div w:id="717779287">
      <w:bodyDiv w:val="1"/>
      <w:marLeft w:val="0"/>
      <w:marRight w:val="0"/>
      <w:marTop w:val="0"/>
      <w:marBottom w:val="0"/>
      <w:divBdr>
        <w:top w:val="none" w:sz="0" w:space="0" w:color="auto"/>
        <w:left w:val="none" w:sz="0" w:space="0" w:color="auto"/>
        <w:bottom w:val="none" w:sz="0" w:space="0" w:color="auto"/>
        <w:right w:val="none" w:sz="0" w:space="0" w:color="auto"/>
      </w:divBdr>
    </w:div>
    <w:div w:id="740061156">
      <w:bodyDiv w:val="1"/>
      <w:marLeft w:val="0"/>
      <w:marRight w:val="0"/>
      <w:marTop w:val="0"/>
      <w:marBottom w:val="0"/>
      <w:divBdr>
        <w:top w:val="none" w:sz="0" w:space="0" w:color="auto"/>
        <w:left w:val="none" w:sz="0" w:space="0" w:color="auto"/>
        <w:bottom w:val="none" w:sz="0" w:space="0" w:color="auto"/>
        <w:right w:val="none" w:sz="0" w:space="0" w:color="auto"/>
      </w:divBdr>
    </w:div>
    <w:div w:id="753402331">
      <w:bodyDiv w:val="1"/>
      <w:marLeft w:val="0"/>
      <w:marRight w:val="0"/>
      <w:marTop w:val="0"/>
      <w:marBottom w:val="0"/>
      <w:divBdr>
        <w:top w:val="none" w:sz="0" w:space="0" w:color="auto"/>
        <w:left w:val="none" w:sz="0" w:space="0" w:color="auto"/>
        <w:bottom w:val="none" w:sz="0" w:space="0" w:color="auto"/>
        <w:right w:val="none" w:sz="0" w:space="0" w:color="auto"/>
      </w:divBdr>
    </w:div>
    <w:div w:id="777800413">
      <w:bodyDiv w:val="1"/>
      <w:marLeft w:val="0"/>
      <w:marRight w:val="0"/>
      <w:marTop w:val="0"/>
      <w:marBottom w:val="0"/>
      <w:divBdr>
        <w:top w:val="none" w:sz="0" w:space="0" w:color="auto"/>
        <w:left w:val="none" w:sz="0" w:space="0" w:color="auto"/>
        <w:bottom w:val="none" w:sz="0" w:space="0" w:color="auto"/>
        <w:right w:val="none" w:sz="0" w:space="0" w:color="auto"/>
      </w:divBdr>
      <w:divsChild>
        <w:div w:id="635528220">
          <w:marLeft w:val="360"/>
          <w:marRight w:val="0"/>
          <w:marTop w:val="200"/>
          <w:marBottom w:val="0"/>
          <w:divBdr>
            <w:top w:val="none" w:sz="0" w:space="0" w:color="auto"/>
            <w:left w:val="none" w:sz="0" w:space="0" w:color="auto"/>
            <w:bottom w:val="none" w:sz="0" w:space="0" w:color="auto"/>
            <w:right w:val="none" w:sz="0" w:space="0" w:color="auto"/>
          </w:divBdr>
        </w:div>
      </w:divsChild>
    </w:div>
    <w:div w:id="794905105">
      <w:bodyDiv w:val="1"/>
      <w:marLeft w:val="0"/>
      <w:marRight w:val="0"/>
      <w:marTop w:val="0"/>
      <w:marBottom w:val="0"/>
      <w:divBdr>
        <w:top w:val="none" w:sz="0" w:space="0" w:color="auto"/>
        <w:left w:val="none" w:sz="0" w:space="0" w:color="auto"/>
        <w:bottom w:val="none" w:sz="0" w:space="0" w:color="auto"/>
        <w:right w:val="none" w:sz="0" w:space="0" w:color="auto"/>
      </w:divBdr>
      <w:divsChild>
        <w:div w:id="1169250571">
          <w:marLeft w:val="446"/>
          <w:marRight w:val="0"/>
          <w:marTop w:val="0"/>
          <w:marBottom w:val="120"/>
          <w:divBdr>
            <w:top w:val="none" w:sz="0" w:space="0" w:color="auto"/>
            <w:left w:val="none" w:sz="0" w:space="0" w:color="auto"/>
            <w:bottom w:val="none" w:sz="0" w:space="0" w:color="auto"/>
            <w:right w:val="none" w:sz="0" w:space="0" w:color="auto"/>
          </w:divBdr>
        </w:div>
      </w:divsChild>
    </w:div>
    <w:div w:id="807667507">
      <w:bodyDiv w:val="1"/>
      <w:marLeft w:val="0"/>
      <w:marRight w:val="0"/>
      <w:marTop w:val="0"/>
      <w:marBottom w:val="0"/>
      <w:divBdr>
        <w:top w:val="none" w:sz="0" w:space="0" w:color="auto"/>
        <w:left w:val="none" w:sz="0" w:space="0" w:color="auto"/>
        <w:bottom w:val="none" w:sz="0" w:space="0" w:color="auto"/>
        <w:right w:val="none" w:sz="0" w:space="0" w:color="auto"/>
      </w:divBdr>
    </w:div>
    <w:div w:id="828864334">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
          <w:marLeft w:val="446"/>
          <w:marRight w:val="0"/>
          <w:marTop w:val="0"/>
          <w:marBottom w:val="120"/>
          <w:divBdr>
            <w:top w:val="none" w:sz="0" w:space="0" w:color="auto"/>
            <w:left w:val="none" w:sz="0" w:space="0" w:color="auto"/>
            <w:bottom w:val="none" w:sz="0" w:space="0" w:color="auto"/>
            <w:right w:val="none" w:sz="0" w:space="0" w:color="auto"/>
          </w:divBdr>
        </w:div>
        <w:div w:id="266736669">
          <w:marLeft w:val="446"/>
          <w:marRight w:val="0"/>
          <w:marTop w:val="0"/>
          <w:marBottom w:val="120"/>
          <w:divBdr>
            <w:top w:val="none" w:sz="0" w:space="0" w:color="auto"/>
            <w:left w:val="none" w:sz="0" w:space="0" w:color="auto"/>
            <w:bottom w:val="none" w:sz="0" w:space="0" w:color="auto"/>
            <w:right w:val="none" w:sz="0" w:space="0" w:color="auto"/>
          </w:divBdr>
        </w:div>
        <w:div w:id="1522013858">
          <w:marLeft w:val="446"/>
          <w:marRight w:val="0"/>
          <w:marTop w:val="0"/>
          <w:marBottom w:val="120"/>
          <w:divBdr>
            <w:top w:val="none" w:sz="0" w:space="0" w:color="auto"/>
            <w:left w:val="none" w:sz="0" w:space="0" w:color="auto"/>
            <w:bottom w:val="none" w:sz="0" w:space="0" w:color="auto"/>
            <w:right w:val="none" w:sz="0" w:space="0" w:color="auto"/>
          </w:divBdr>
        </w:div>
        <w:div w:id="1621759994">
          <w:marLeft w:val="446"/>
          <w:marRight w:val="0"/>
          <w:marTop w:val="0"/>
          <w:marBottom w:val="120"/>
          <w:divBdr>
            <w:top w:val="none" w:sz="0" w:space="0" w:color="auto"/>
            <w:left w:val="none" w:sz="0" w:space="0" w:color="auto"/>
            <w:bottom w:val="none" w:sz="0" w:space="0" w:color="auto"/>
            <w:right w:val="none" w:sz="0" w:space="0" w:color="auto"/>
          </w:divBdr>
        </w:div>
      </w:divsChild>
    </w:div>
    <w:div w:id="878785357">
      <w:bodyDiv w:val="1"/>
      <w:marLeft w:val="0"/>
      <w:marRight w:val="0"/>
      <w:marTop w:val="0"/>
      <w:marBottom w:val="0"/>
      <w:divBdr>
        <w:top w:val="none" w:sz="0" w:space="0" w:color="auto"/>
        <w:left w:val="none" w:sz="0" w:space="0" w:color="auto"/>
        <w:bottom w:val="none" w:sz="0" w:space="0" w:color="auto"/>
        <w:right w:val="none" w:sz="0" w:space="0" w:color="auto"/>
      </w:divBdr>
    </w:div>
    <w:div w:id="880753176">
      <w:bodyDiv w:val="1"/>
      <w:marLeft w:val="0"/>
      <w:marRight w:val="0"/>
      <w:marTop w:val="0"/>
      <w:marBottom w:val="0"/>
      <w:divBdr>
        <w:top w:val="none" w:sz="0" w:space="0" w:color="auto"/>
        <w:left w:val="none" w:sz="0" w:space="0" w:color="auto"/>
        <w:bottom w:val="none" w:sz="0" w:space="0" w:color="auto"/>
        <w:right w:val="none" w:sz="0" w:space="0" w:color="auto"/>
      </w:divBdr>
    </w:div>
    <w:div w:id="907151876">
      <w:bodyDiv w:val="1"/>
      <w:marLeft w:val="0"/>
      <w:marRight w:val="0"/>
      <w:marTop w:val="0"/>
      <w:marBottom w:val="0"/>
      <w:divBdr>
        <w:top w:val="none" w:sz="0" w:space="0" w:color="auto"/>
        <w:left w:val="none" w:sz="0" w:space="0" w:color="auto"/>
        <w:bottom w:val="none" w:sz="0" w:space="0" w:color="auto"/>
        <w:right w:val="none" w:sz="0" w:space="0" w:color="auto"/>
      </w:divBdr>
    </w:div>
    <w:div w:id="914783365">
      <w:bodyDiv w:val="1"/>
      <w:marLeft w:val="0"/>
      <w:marRight w:val="0"/>
      <w:marTop w:val="0"/>
      <w:marBottom w:val="0"/>
      <w:divBdr>
        <w:top w:val="none" w:sz="0" w:space="0" w:color="auto"/>
        <w:left w:val="none" w:sz="0" w:space="0" w:color="auto"/>
        <w:bottom w:val="none" w:sz="0" w:space="0" w:color="auto"/>
        <w:right w:val="none" w:sz="0" w:space="0" w:color="auto"/>
      </w:divBdr>
      <w:divsChild>
        <w:div w:id="1487361445">
          <w:marLeft w:val="360"/>
          <w:marRight w:val="0"/>
          <w:marTop w:val="200"/>
          <w:marBottom w:val="0"/>
          <w:divBdr>
            <w:top w:val="none" w:sz="0" w:space="0" w:color="auto"/>
            <w:left w:val="none" w:sz="0" w:space="0" w:color="auto"/>
            <w:bottom w:val="none" w:sz="0" w:space="0" w:color="auto"/>
            <w:right w:val="none" w:sz="0" w:space="0" w:color="auto"/>
          </w:divBdr>
        </w:div>
      </w:divsChild>
    </w:div>
    <w:div w:id="916210399">
      <w:bodyDiv w:val="1"/>
      <w:marLeft w:val="0"/>
      <w:marRight w:val="0"/>
      <w:marTop w:val="0"/>
      <w:marBottom w:val="0"/>
      <w:divBdr>
        <w:top w:val="none" w:sz="0" w:space="0" w:color="auto"/>
        <w:left w:val="none" w:sz="0" w:space="0" w:color="auto"/>
        <w:bottom w:val="none" w:sz="0" w:space="0" w:color="auto"/>
        <w:right w:val="none" w:sz="0" w:space="0" w:color="auto"/>
      </w:divBdr>
    </w:div>
    <w:div w:id="976031263">
      <w:bodyDiv w:val="1"/>
      <w:marLeft w:val="0"/>
      <w:marRight w:val="0"/>
      <w:marTop w:val="0"/>
      <w:marBottom w:val="0"/>
      <w:divBdr>
        <w:top w:val="none" w:sz="0" w:space="0" w:color="auto"/>
        <w:left w:val="none" w:sz="0" w:space="0" w:color="auto"/>
        <w:bottom w:val="none" w:sz="0" w:space="0" w:color="auto"/>
        <w:right w:val="none" w:sz="0" w:space="0" w:color="auto"/>
      </w:divBdr>
      <w:divsChild>
        <w:div w:id="289940357">
          <w:marLeft w:val="0"/>
          <w:marRight w:val="0"/>
          <w:marTop w:val="0"/>
          <w:marBottom w:val="0"/>
          <w:divBdr>
            <w:top w:val="none" w:sz="0" w:space="0" w:color="auto"/>
            <w:left w:val="none" w:sz="0" w:space="0" w:color="auto"/>
            <w:bottom w:val="none" w:sz="0" w:space="0" w:color="auto"/>
            <w:right w:val="none" w:sz="0" w:space="0" w:color="auto"/>
          </w:divBdr>
          <w:divsChild>
            <w:div w:id="1641037045">
              <w:marLeft w:val="0"/>
              <w:marRight w:val="0"/>
              <w:marTop w:val="0"/>
              <w:marBottom w:val="0"/>
              <w:divBdr>
                <w:top w:val="none" w:sz="0" w:space="0" w:color="auto"/>
                <w:left w:val="none" w:sz="0" w:space="0" w:color="auto"/>
                <w:bottom w:val="none" w:sz="0" w:space="0" w:color="auto"/>
                <w:right w:val="none" w:sz="0" w:space="0" w:color="auto"/>
              </w:divBdr>
              <w:divsChild>
                <w:div w:id="125986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302577">
      <w:bodyDiv w:val="1"/>
      <w:marLeft w:val="0"/>
      <w:marRight w:val="0"/>
      <w:marTop w:val="0"/>
      <w:marBottom w:val="0"/>
      <w:divBdr>
        <w:top w:val="none" w:sz="0" w:space="0" w:color="auto"/>
        <w:left w:val="none" w:sz="0" w:space="0" w:color="auto"/>
        <w:bottom w:val="none" w:sz="0" w:space="0" w:color="auto"/>
        <w:right w:val="none" w:sz="0" w:space="0" w:color="auto"/>
      </w:divBdr>
    </w:div>
    <w:div w:id="1015112856">
      <w:bodyDiv w:val="1"/>
      <w:marLeft w:val="0"/>
      <w:marRight w:val="0"/>
      <w:marTop w:val="0"/>
      <w:marBottom w:val="0"/>
      <w:divBdr>
        <w:top w:val="none" w:sz="0" w:space="0" w:color="auto"/>
        <w:left w:val="none" w:sz="0" w:space="0" w:color="auto"/>
        <w:bottom w:val="none" w:sz="0" w:space="0" w:color="auto"/>
        <w:right w:val="none" w:sz="0" w:space="0" w:color="auto"/>
      </w:divBdr>
      <w:divsChild>
        <w:div w:id="285737268">
          <w:marLeft w:val="274"/>
          <w:marRight w:val="0"/>
          <w:marTop w:val="240"/>
          <w:marBottom w:val="0"/>
          <w:divBdr>
            <w:top w:val="none" w:sz="0" w:space="0" w:color="auto"/>
            <w:left w:val="none" w:sz="0" w:space="0" w:color="auto"/>
            <w:bottom w:val="none" w:sz="0" w:space="0" w:color="auto"/>
            <w:right w:val="none" w:sz="0" w:space="0" w:color="auto"/>
          </w:divBdr>
        </w:div>
        <w:div w:id="813372181">
          <w:marLeft w:val="274"/>
          <w:marRight w:val="0"/>
          <w:marTop w:val="240"/>
          <w:marBottom w:val="0"/>
          <w:divBdr>
            <w:top w:val="none" w:sz="0" w:space="0" w:color="auto"/>
            <w:left w:val="none" w:sz="0" w:space="0" w:color="auto"/>
            <w:bottom w:val="none" w:sz="0" w:space="0" w:color="auto"/>
            <w:right w:val="none" w:sz="0" w:space="0" w:color="auto"/>
          </w:divBdr>
        </w:div>
        <w:div w:id="1259867979">
          <w:marLeft w:val="274"/>
          <w:marRight w:val="0"/>
          <w:marTop w:val="240"/>
          <w:marBottom w:val="0"/>
          <w:divBdr>
            <w:top w:val="none" w:sz="0" w:space="0" w:color="auto"/>
            <w:left w:val="none" w:sz="0" w:space="0" w:color="auto"/>
            <w:bottom w:val="none" w:sz="0" w:space="0" w:color="auto"/>
            <w:right w:val="none" w:sz="0" w:space="0" w:color="auto"/>
          </w:divBdr>
        </w:div>
      </w:divsChild>
    </w:div>
    <w:div w:id="1116221029">
      <w:bodyDiv w:val="1"/>
      <w:marLeft w:val="0"/>
      <w:marRight w:val="0"/>
      <w:marTop w:val="0"/>
      <w:marBottom w:val="0"/>
      <w:divBdr>
        <w:top w:val="none" w:sz="0" w:space="0" w:color="auto"/>
        <w:left w:val="none" w:sz="0" w:space="0" w:color="auto"/>
        <w:bottom w:val="none" w:sz="0" w:space="0" w:color="auto"/>
        <w:right w:val="none" w:sz="0" w:space="0" w:color="auto"/>
      </w:divBdr>
    </w:div>
    <w:div w:id="1145463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7035">
          <w:marLeft w:val="2520"/>
          <w:marRight w:val="0"/>
          <w:marTop w:val="0"/>
          <w:marBottom w:val="0"/>
          <w:divBdr>
            <w:top w:val="none" w:sz="0" w:space="0" w:color="auto"/>
            <w:left w:val="none" w:sz="0" w:space="0" w:color="auto"/>
            <w:bottom w:val="none" w:sz="0" w:space="0" w:color="auto"/>
            <w:right w:val="none" w:sz="0" w:space="0" w:color="auto"/>
          </w:divBdr>
        </w:div>
      </w:divsChild>
    </w:div>
    <w:div w:id="1198466864">
      <w:bodyDiv w:val="1"/>
      <w:marLeft w:val="0"/>
      <w:marRight w:val="0"/>
      <w:marTop w:val="0"/>
      <w:marBottom w:val="0"/>
      <w:divBdr>
        <w:top w:val="none" w:sz="0" w:space="0" w:color="auto"/>
        <w:left w:val="none" w:sz="0" w:space="0" w:color="auto"/>
        <w:bottom w:val="none" w:sz="0" w:space="0" w:color="auto"/>
        <w:right w:val="none" w:sz="0" w:space="0" w:color="auto"/>
      </w:divBdr>
      <w:divsChild>
        <w:div w:id="92480052">
          <w:marLeft w:val="360"/>
          <w:marRight w:val="0"/>
          <w:marTop w:val="200"/>
          <w:marBottom w:val="0"/>
          <w:divBdr>
            <w:top w:val="none" w:sz="0" w:space="0" w:color="auto"/>
            <w:left w:val="none" w:sz="0" w:space="0" w:color="auto"/>
            <w:bottom w:val="none" w:sz="0" w:space="0" w:color="auto"/>
            <w:right w:val="none" w:sz="0" w:space="0" w:color="auto"/>
          </w:divBdr>
        </w:div>
        <w:div w:id="314258992">
          <w:marLeft w:val="1080"/>
          <w:marRight w:val="0"/>
          <w:marTop w:val="100"/>
          <w:marBottom w:val="0"/>
          <w:divBdr>
            <w:top w:val="none" w:sz="0" w:space="0" w:color="auto"/>
            <w:left w:val="none" w:sz="0" w:space="0" w:color="auto"/>
            <w:bottom w:val="none" w:sz="0" w:space="0" w:color="auto"/>
            <w:right w:val="none" w:sz="0" w:space="0" w:color="auto"/>
          </w:divBdr>
        </w:div>
        <w:div w:id="385689047">
          <w:marLeft w:val="360"/>
          <w:marRight w:val="0"/>
          <w:marTop w:val="200"/>
          <w:marBottom w:val="0"/>
          <w:divBdr>
            <w:top w:val="none" w:sz="0" w:space="0" w:color="auto"/>
            <w:left w:val="none" w:sz="0" w:space="0" w:color="auto"/>
            <w:bottom w:val="none" w:sz="0" w:space="0" w:color="auto"/>
            <w:right w:val="none" w:sz="0" w:space="0" w:color="auto"/>
          </w:divBdr>
        </w:div>
        <w:div w:id="621227090">
          <w:marLeft w:val="360"/>
          <w:marRight w:val="0"/>
          <w:marTop w:val="200"/>
          <w:marBottom w:val="0"/>
          <w:divBdr>
            <w:top w:val="none" w:sz="0" w:space="0" w:color="auto"/>
            <w:left w:val="none" w:sz="0" w:space="0" w:color="auto"/>
            <w:bottom w:val="none" w:sz="0" w:space="0" w:color="auto"/>
            <w:right w:val="none" w:sz="0" w:space="0" w:color="auto"/>
          </w:divBdr>
        </w:div>
        <w:div w:id="658268587">
          <w:marLeft w:val="360"/>
          <w:marRight w:val="0"/>
          <w:marTop w:val="200"/>
          <w:marBottom w:val="0"/>
          <w:divBdr>
            <w:top w:val="none" w:sz="0" w:space="0" w:color="auto"/>
            <w:left w:val="none" w:sz="0" w:space="0" w:color="auto"/>
            <w:bottom w:val="none" w:sz="0" w:space="0" w:color="auto"/>
            <w:right w:val="none" w:sz="0" w:space="0" w:color="auto"/>
          </w:divBdr>
        </w:div>
      </w:divsChild>
    </w:div>
    <w:div w:id="1210342992">
      <w:bodyDiv w:val="1"/>
      <w:marLeft w:val="0"/>
      <w:marRight w:val="0"/>
      <w:marTop w:val="0"/>
      <w:marBottom w:val="0"/>
      <w:divBdr>
        <w:top w:val="none" w:sz="0" w:space="0" w:color="auto"/>
        <w:left w:val="none" w:sz="0" w:space="0" w:color="auto"/>
        <w:bottom w:val="none" w:sz="0" w:space="0" w:color="auto"/>
        <w:right w:val="none" w:sz="0" w:space="0" w:color="auto"/>
      </w:divBdr>
    </w:div>
    <w:div w:id="1251895005">
      <w:bodyDiv w:val="1"/>
      <w:marLeft w:val="0"/>
      <w:marRight w:val="0"/>
      <w:marTop w:val="0"/>
      <w:marBottom w:val="0"/>
      <w:divBdr>
        <w:top w:val="none" w:sz="0" w:space="0" w:color="auto"/>
        <w:left w:val="none" w:sz="0" w:space="0" w:color="auto"/>
        <w:bottom w:val="none" w:sz="0" w:space="0" w:color="auto"/>
        <w:right w:val="none" w:sz="0" w:space="0" w:color="auto"/>
      </w:divBdr>
    </w:div>
    <w:div w:id="1299534634">
      <w:bodyDiv w:val="1"/>
      <w:marLeft w:val="0"/>
      <w:marRight w:val="0"/>
      <w:marTop w:val="0"/>
      <w:marBottom w:val="0"/>
      <w:divBdr>
        <w:top w:val="none" w:sz="0" w:space="0" w:color="auto"/>
        <w:left w:val="none" w:sz="0" w:space="0" w:color="auto"/>
        <w:bottom w:val="none" w:sz="0" w:space="0" w:color="auto"/>
        <w:right w:val="none" w:sz="0" w:space="0" w:color="auto"/>
      </w:divBdr>
    </w:div>
    <w:div w:id="1317101767">
      <w:bodyDiv w:val="1"/>
      <w:marLeft w:val="0"/>
      <w:marRight w:val="0"/>
      <w:marTop w:val="0"/>
      <w:marBottom w:val="0"/>
      <w:divBdr>
        <w:top w:val="none" w:sz="0" w:space="0" w:color="auto"/>
        <w:left w:val="none" w:sz="0" w:space="0" w:color="auto"/>
        <w:bottom w:val="none" w:sz="0" w:space="0" w:color="auto"/>
        <w:right w:val="none" w:sz="0" w:space="0" w:color="auto"/>
      </w:divBdr>
    </w:div>
    <w:div w:id="1323777025">
      <w:bodyDiv w:val="1"/>
      <w:marLeft w:val="0"/>
      <w:marRight w:val="0"/>
      <w:marTop w:val="0"/>
      <w:marBottom w:val="0"/>
      <w:divBdr>
        <w:top w:val="none" w:sz="0" w:space="0" w:color="auto"/>
        <w:left w:val="none" w:sz="0" w:space="0" w:color="auto"/>
        <w:bottom w:val="none" w:sz="0" w:space="0" w:color="auto"/>
        <w:right w:val="none" w:sz="0" w:space="0" w:color="auto"/>
      </w:divBdr>
      <w:divsChild>
        <w:div w:id="567302155">
          <w:marLeft w:val="1166"/>
          <w:marRight w:val="0"/>
          <w:marTop w:val="86"/>
          <w:marBottom w:val="0"/>
          <w:divBdr>
            <w:top w:val="none" w:sz="0" w:space="0" w:color="auto"/>
            <w:left w:val="none" w:sz="0" w:space="0" w:color="auto"/>
            <w:bottom w:val="none" w:sz="0" w:space="0" w:color="auto"/>
            <w:right w:val="none" w:sz="0" w:space="0" w:color="auto"/>
          </w:divBdr>
        </w:div>
      </w:divsChild>
    </w:div>
    <w:div w:id="1390687923">
      <w:bodyDiv w:val="1"/>
      <w:marLeft w:val="0"/>
      <w:marRight w:val="0"/>
      <w:marTop w:val="0"/>
      <w:marBottom w:val="0"/>
      <w:divBdr>
        <w:top w:val="none" w:sz="0" w:space="0" w:color="auto"/>
        <w:left w:val="none" w:sz="0" w:space="0" w:color="auto"/>
        <w:bottom w:val="none" w:sz="0" w:space="0" w:color="auto"/>
        <w:right w:val="none" w:sz="0" w:space="0" w:color="auto"/>
      </w:divBdr>
      <w:divsChild>
        <w:div w:id="55516251">
          <w:marLeft w:val="1181"/>
          <w:marRight w:val="0"/>
          <w:marTop w:val="0"/>
          <w:marBottom w:val="120"/>
          <w:divBdr>
            <w:top w:val="none" w:sz="0" w:space="0" w:color="auto"/>
            <w:left w:val="none" w:sz="0" w:space="0" w:color="auto"/>
            <w:bottom w:val="none" w:sz="0" w:space="0" w:color="auto"/>
            <w:right w:val="none" w:sz="0" w:space="0" w:color="auto"/>
          </w:divBdr>
        </w:div>
        <w:div w:id="254293395">
          <w:marLeft w:val="1181"/>
          <w:marRight w:val="0"/>
          <w:marTop w:val="0"/>
          <w:marBottom w:val="120"/>
          <w:divBdr>
            <w:top w:val="none" w:sz="0" w:space="0" w:color="auto"/>
            <w:left w:val="none" w:sz="0" w:space="0" w:color="auto"/>
            <w:bottom w:val="none" w:sz="0" w:space="0" w:color="auto"/>
            <w:right w:val="none" w:sz="0" w:space="0" w:color="auto"/>
          </w:divBdr>
        </w:div>
        <w:div w:id="301933246">
          <w:marLeft w:val="446"/>
          <w:marRight w:val="0"/>
          <w:marTop w:val="0"/>
          <w:marBottom w:val="120"/>
          <w:divBdr>
            <w:top w:val="none" w:sz="0" w:space="0" w:color="auto"/>
            <w:left w:val="none" w:sz="0" w:space="0" w:color="auto"/>
            <w:bottom w:val="none" w:sz="0" w:space="0" w:color="auto"/>
            <w:right w:val="none" w:sz="0" w:space="0" w:color="auto"/>
          </w:divBdr>
        </w:div>
        <w:div w:id="643317409">
          <w:marLeft w:val="806"/>
          <w:marRight w:val="0"/>
          <w:marTop w:val="0"/>
          <w:marBottom w:val="120"/>
          <w:divBdr>
            <w:top w:val="none" w:sz="0" w:space="0" w:color="auto"/>
            <w:left w:val="none" w:sz="0" w:space="0" w:color="auto"/>
            <w:bottom w:val="none" w:sz="0" w:space="0" w:color="auto"/>
            <w:right w:val="none" w:sz="0" w:space="0" w:color="auto"/>
          </w:divBdr>
        </w:div>
        <w:div w:id="668291215">
          <w:marLeft w:val="446"/>
          <w:marRight w:val="0"/>
          <w:marTop w:val="0"/>
          <w:marBottom w:val="120"/>
          <w:divBdr>
            <w:top w:val="none" w:sz="0" w:space="0" w:color="auto"/>
            <w:left w:val="none" w:sz="0" w:space="0" w:color="auto"/>
            <w:bottom w:val="none" w:sz="0" w:space="0" w:color="auto"/>
            <w:right w:val="none" w:sz="0" w:space="0" w:color="auto"/>
          </w:divBdr>
        </w:div>
        <w:div w:id="1461266275">
          <w:marLeft w:val="806"/>
          <w:marRight w:val="0"/>
          <w:marTop w:val="0"/>
          <w:marBottom w:val="120"/>
          <w:divBdr>
            <w:top w:val="none" w:sz="0" w:space="0" w:color="auto"/>
            <w:left w:val="none" w:sz="0" w:space="0" w:color="auto"/>
            <w:bottom w:val="none" w:sz="0" w:space="0" w:color="auto"/>
            <w:right w:val="none" w:sz="0" w:space="0" w:color="auto"/>
          </w:divBdr>
        </w:div>
        <w:div w:id="1658455110">
          <w:marLeft w:val="1181"/>
          <w:marRight w:val="0"/>
          <w:marTop w:val="0"/>
          <w:marBottom w:val="120"/>
          <w:divBdr>
            <w:top w:val="none" w:sz="0" w:space="0" w:color="auto"/>
            <w:left w:val="none" w:sz="0" w:space="0" w:color="auto"/>
            <w:bottom w:val="none" w:sz="0" w:space="0" w:color="auto"/>
            <w:right w:val="none" w:sz="0" w:space="0" w:color="auto"/>
          </w:divBdr>
        </w:div>
        <w:div w:id="1767194694">
          <w:marLeft w:val="1181"/>
          <w:marRight w:val="0"/>
          <w:marTop w:val="0"/>
          <w:marBottom w:val="120"/>
          <w:divBdr>
            <w:top w:val="none" w:sz="0" w:space="0" w:color="auto"/>
            <w:left w:val="none" w:sz="0" w:space="0" w:color="auto"/>
            <w:bottom w:val="none" w:sz="0" w:space="0" w:color="auto"/>
            <w:right w:val="none" w:sz="0" w:space="0" w:color="auto"/>
          </w:divBdr>
        </w:div>
      </w:divsChild>
    </w:div>
    <w:div w:id="1396778113">
      <w:bodyDiv w:val="1"/>
      <w:marLeft w:val="0"/>
      <w:marRight w:val="0"/>
      <w:marTop w:val="0"/>
      <w:marBottom w:val="0"/>
      <w:divBdr>
        <w:top w:val="none" w:sz="0" w:space="0" w:color="auto"/>
        <w:left w:val="none" w:sz="0" w:space="0" w:color="auto"/>
        <w:bottom w:val="none" w:sz="0" w:space="0" w:color="auto"/>
        <w:right w:val="none" w:sz="0" w:space="0" w:color="auto"/>
      </w:divBdr>
    </w:div>
    <w:div w:id="1465540480">
      <w:bodyDiv w:val="1"/>
      <w:marLeft w:val="0"/>
      <w:marRight w:val="0"/>
      <w:marTop w:val="0"/>
      <w:marBottom w:val="0"/>
      <w:divBdr>
        <w:top w:val="none" w:sz="0" w:space="0" w:color="auto"/>
        <w:left w:val="none" w:sz="0" w:space="0" w:color="auto"/>
        <w:bottom w:val="none" w:sz="0" w:space="0" w:color="auto"/>
        <w:right w:val="none" w:sz="0" w:space="0" w:color="auto"/>
      </w:divBdr>
    </w:div>
    <w:div w:id="1480415386">
      <w:bodyDiv w:val="1"/>
      <w:marLeft w:val="0"/>
      <w:marRight w:val="0"/>
      <w:marTop w:val="0"/>
      <w:marBottom w:val="0"/>
      <w:divBdr>
        <w:top w:val="none" w:sz="0" w:space="0" w:color="auto"/>
        <w:left w:val="none" w:sz="0" w:space="0" w:color="auto"/>
        <w:bottom w:val="none" w:sz="0" w:space="0" w:color="auto"/>
        <w:right w:val="none" w:sz="0" w:space="0" w:color="auto"/>
      </w:divBdr>
    </w:div>
    <w:div w:id="1500609181">
      <w:bodyDiv w:val="1"/>
      <w:marLeft w:val="0"/>
      <w:marRight w:val="0"/>
      <w:marTop w:val="0"/>
      <w:marBottom w:val="0"/>
      <w:divBdr>
        <w:top w:val="none" w:sz="0" w:space="0" w:color="auto"/>
        <w:left w:val="none" w:sz="0" w:space="0" w:color="auto"/>
        <w:bottom w:val="none" w:sz="0" w:space="0" w:color="auto"/>
        <w:right w:val="none" w:sz="0" w:space="0" w:color="auto"/>
      </w:divBdr>
    </w:div>
    <w:div w:id="1539707638">
      <w:bodyDiv w:val="1"/>
      <w:marLeft w:val="0"/>
      <w:marRight w:val="0"/>
      <w:marTop w:val="0"/>
      <w:marBottom w:val="0"/>
      <w:divBdr>
        <w:top w:val="none" w:sz="0" w:space="0" w:color="auto"/>
        <w:left w:val="none" w:sz="0" w:space="0" w:color="auto"/>
        <w:bottom w:val="none" w:sz="0" w:space="0" w:color="auto"/>
        <w:right w:val="none" w:sz="0" w:space="0" w:color="auto"/>
      </w:divBdr>
    </w:div>
    <w:div w:id="1542669566">
      <w:bodyDiv w:val="1"/>
      <w:marLeft w:val="0"/>
      <w:marRight w:val="0"/>
      <w:marTop w:val="0"/>
      <w:marBottom w:val="0"/>
      <w:divBdr>
        <w:top w:val="none" w:sz="0" w:space="0" w:color="auto"/>
        <w:left w:val="none" w:sz="0" w:space="0" w:color="auto"/>
        <w:bottom w:val="none" w:sz="0" w:space="0" w:color="auto"/>
        <w:right w:val="none" w:sz="0" w:space="0" w:color="auto"/>
      </w:divBdr>
    </w:div>
    <w:div w:id="1607494701">
      <w:bodyDiv w:val="1"/>
      <w:marLeft w:val="0"/>
      <w:marRight w:val="0"/>
      <w:marTop w:val="0"/>
      <w:marBottom w:val="0"/>
      <w:divBdr>
        <w:top w:val="none" w:sz="0" w:space="0" w:color="auto"/>
        <w:left w:val="none" w:sz="0" w:space="0" w:color="auto"/>
        <w:bottom w:val="none" w:sz="0" w:space="0" w:color="auto"/>
        <w:right w:val="none" w:sz="0" w:space="0" w:color="auto"/>
      </w:divBdr>
    </w:div>
    <w:div w:id="1619020986">
      <w:bodyDiv w:val="1"/>
      <w:marLeft w:val="0"/>
      <w:marRight w:val="0"/>
      <w:marTop w:val="0"/>
      <w:marBottom w:val="0"/>
      <w:divBdr>
        <w:top w:val="none" w:sz="0" w:space="0" w:color="auto"/>
        <w:left w:val="none" w:sz="0" w:space="0" w:color="auto"/>
        <w:bottom w:val="none" w:sz="0" w:space="0" w:color="auto"/>
        <w:right w:val="none" w:sz="0" w:space="0" w:color="auto"/>
      </w:divBdr>
      <w:divsChild>
        <w:div w:id="252250457">
          <w:marLeft w:val="547"/>
          <w:marRight w:val="0"/>
          <w:marTop w:val="134"/>
          <w:marBottom w:val="0"/>
          <w:divBdr>
            <w:top w:val="none" w:sz="0" w:space="0" w:color="auto"/>
            <w:left w:val="none" w:sz="0" w:space="0" w:color="auto"/>
            <w:bottom w:val="none" w:sz="0" w:space="0" w:color="auto"/>
            <w:right w:val="none" w:sz="0" w:space="0" w:color="auto"/>
          </w:divBdr>
        </w:div>
        <w:div w:id="871840203">
          <w:marLeft w:val="547"/>
          <w:marRight w:val="0"/>
          <w:marTop w:val="134"/>
          <w:marBottom w:val="0"/>
          <w:divBdr>
            <w:top w:val="none" w:sz="0" w:space="0" w:color="auto"/>
            <w:left w:val="none" w:sz="0" w:space="0" w:color="auto"/>
            <w:bottom w:val="none" w:sz="0" w:space="0" w:color="auto"/>
            <w:right w:val="none" w:sz="0" w:space="0" w:color="auto"/>
          </w:divBdr>
        </w:div>
        <w:div w:id="1101071407">
          <w:marLeft w:val="1080"/>
          <w:marRight w:val="0"/>
          <w:marTop w:val="115"/>
          <w:marBottom w:val="0"/>
          <w:divBdr>
            <w:top w:val="none" w:sz="0" w:space="0" w:color="auto"/>
            <w:left w:val="none" w:sz="0" w:space="0" w:color="auto"/>
            <w:bottom w:val="none" w:sz="0" w:space="0" w:color="auto"/>
            <w:right w:val="none" w:sz="0" w:space="0" w:color="auto"/>
          </w:divBdr>
        </w:div>
        <w:div w:id="1187596247">
          <w:marLeft w:val="1800"/>
          <w:marRight w:val="0"/>
          <w:marTop w:val="115"/>
          <w:marBottom w:val="0"/>
          <w:divBdr>
            <w:top w:val="none" w:sz="0" w:space="0" w:color="auto"/>
            <w:left w:val="none" w:sz="0" w:space="0" w:color="auto"/>
            <w:bottom w:val="none" w:sz="0" w:space="0" w:color="auto"/>
            <w:right w:val="none" w:sz="0" w:space="0" w:color="auto"/>
          </w:divBdr>
        </w:div>
        <w:div w:id="1285889387">
          <w:marLeft w:val="1080"/>
          <w:marRight w:val="0"/>
          <w:marTop w:val="115"/>
          <w:marBottom w:val="0"/>
          <w:divBdr>
            <w:top w:val="none" w:sz="0" w:space="0" w:color="auto"/>
            <w:left w:val="none" w:sz="0" w:space="0" w:color="auto"/>
            <w:bottom w:val="none" w:sz="0" w:space="0" w:color="auto"/>
            <w:right w:val="none" w:sz="0" w:space="0" w:color="auto"/>
          </w:divBdr>
        </w:div>
        <w:div w:id="1344169984">
          <w:marLeft w:val="547"/>
          <w:marRight w:val="0"/>
          <w:marTop w:val="134"/>
          <w:marBottom w:val="0"/>
          <w:divBdr>
            <w:top w:val="none" w:sz="0" w:space="0" w:color="auto"/>
            <w:left w:val="none" w:sz="0" w:space="0" w:color="auto"/>
            <w:bottom w:val="none" w:sz="0" w:space="0" w:color="auto"/>
            <w:right w:val="none" w:sz="0" w:space="0" w:color="auto"/>
          </w:divBdr>
        </w:div>
        <w:div w:id="1766539197">
          <w:marLeft w:val="1080"/>
          <w:marRight w:val="0"/>
          <w:marTop w:val="115"/>
          <w:marBottom w:val="0"/>
          <w:divBdr>
            <w:top w:val="none" w:sz="0" w:space="0" w:color="auto"/>
            <w:left w:val="none" w:sz="0" w:space="0" w:color="auto"/>
            <w:bottom w:val="none" w:sz="0" w:space="0" w:color="auto"/>
            <w:right w:val="none" w:sz="0" w:space="0" w:color="auto"/>
          </w:divBdr>
        </w:div>
        <w:div w:id="1984046437">
          <w:marLeft w:val="1080"/>
          <w:marRight w:val="0"/>
          <w:marTop w:val="115"/>
          <w:marBottom w:val="0"/>
          <w:divBdr>
            <w:top w:val="none" w:sz="0" w:space="0" w:color="auto"/>
            <w:left w:val="none" w:sz="0" w:space="0" w:color="auto"/>
            <w:bottom w:val="none" w:sz="0" w:space="0" w:color="auto"/>
            <w:right w:val="none" w:sz="0" w:space="0" w:color="auto"/>
          </w:divBdr>
        </w:div>
      </w:divsChild>
    </w:div>
    <w:div w:id="1667322783">
      <w:bodyDiv w:val="1"/>
      <w:marLeft w:val="0"/>
      <w:marRight w:val="0"/>
      <w:marTop w:val="0"/>
      <w:marBottom w:val="0"/>
      <w:divBdr>
        <w:top w:val="none" w:sz="0" w:space="0" w:color="auto"/>
        <w:left w:val="none" w:sz="0" w:space="0" w:color="auto"/>
        <w:bottom w:val="none" w:sz="0" w:space="0" w:color="auto"/>
        <w:right w:val="none" w:sz="0" w:space="0" w:color="auto"/>
      </w:divBdr>
      <w:divsChild>
        <w:div w:id="880630528">
          <w:marLeft w:val="1166"/>
          <w:marRight w:val="0"/>
          <w:marTop w:val="86"/>
          <w:marBottom w:val="0"/>
          <w:divBdr>
            <w:top w:val="none" w:sz="0" w:space="0" w:color="auto"/>
            <w:left w:val="none" w:sz="0" w:space="0" w:color="auto"/>
            <w:bottom w:val="none" w:sz="0" w:space="0" w:color="auto"/>
            <w:right w:val="none" w:sz="0" w:space="0" w:color="auto"/>
          </w:divBdr>
        </w:div>
        <w:div w:id="1528444855">
          <w:marLeft w:val="547"/>
          <w:marRight w:val="0"/>
          <w:marTop w:val="96"/>
          <w:marBottom w:val="0"/>
          <w:divBdr>
            <w:top w:val="none" w:sz="0" w:space="0" w:color="auto"/>
            <w:left w:val="none" w:sz="0" w:space="0" w:color="auto"/>
            <w:bottom w:val="none" w:sz="0" w:space="0" w:color="auto"/>
            <w:right w:val="none" w:sz="0" w:space="0" w:color="auto"/>
          </w:divBdr>
        </w:div>
        <w:div w:id="1697270957">
          <w:marLeft w:val="1166"/>
          <w:marRight w:val="0"/>
          <w:marTop w:val="86"/>
          <w:marBottom w:val="0"/>
          <w:divBdr>
            <w:top w:val="none" w:sz="0" w:space="0" w:color="auto"/>
            <w:left w:val="none" w:sz="0" w:space="0" w:color="auto"/>
            <w:bottom w:val="none" w:sz="0" w:space="0" w:color="auto"/>
            <w:right w:val="none" w:sz="0" w:space="0" w:color="auto"/>
          </w:divBdr>
        </w:div>
        <w:div w:id="1943953864">
          <w:marLeft w:val="1166"/>
          <w:marRight w:val="0"/>
          <w:marTop w:val="86"/>
          <w:marBottom w:val="0"/>
          <w:divBdr>
            <w:top w:val="none" w:sz="0" w:space="0" w:color="auto"/>
            <w:left w:val="none" w:sz="0" w:space="0" w:color="auto"/>
            <w:bottom w:val="none" w:sz="0" w:space="0" w:color="auto"/>
            <w:right w:val="none" w:sz="0" w:space="0" w:color="auto"/>
          </w:divBdr>
        </w:div>
      </w:divsChild>
    </w:div>
    <w:div w:id="1678192485">
      <w:bodyDiv w:val="1"/>
      <w:marLeft w:val="0"/>
      <w:marRight w:val="0"/>
      <w:marTop w:val="0"/>
      <w:marBottom w:val="0"/>
      <w:divBdr>
        <w:top w:val="none" w:sz="0" w:space="0" w:color="auto"/>
        <w:left w:val="none" w:sz="0" w:space="0" w:color="auto"/>
        <w:bottom w:val="none" w:sz="0" w:space="0" w:color="auto"/>
        <w:right w:val="none" w:sz="0" w:space="0" w:color="auto"/>
      </w:divBdr>
    </w:div>
    <w:div w:id="1720784714">
      <w:bodyDiv w:val="1"/>
      <w:marLeft w:val="0"/>
      <w:marRight w:val="0"/>
      <w:marTop w:val="0"/>
      <w:marBottom w:val="0"/>
      <w:divBdr>
        <w:top w:val="none" w:sz="0" w:space="0" w:color="auto"/>
        <w:left w:val="none" w:sz="0" w:space="0" w:color="auto"/>
        <w:bottom w:val="none" w:sz="0" w:space="0" w:color="auto"/>
        <w:right w:val="none" w:sz="0" w:space="0" w:color="auto"/>
      </w:divBdr>
    </w:div>
    <w:div w:id="1768504140">
      <w:bodyDiv w:val="1"/>
      <w:marLeft w:val="0"/>
      <w:marRight w:val="0"/>
      <w:marTop w:val="0"/>
      <w:marBottom w:val="0"/>
      <w:divBdr>
        <w:top w:val="none" w:sz="0" w:space="0" w:color="auto"/>
        <w:left w:val="none" w:sz="0" w:space="0" w:color="auto"/>
        <w:bottom w:val="none" w:sz="0" w:space="0" w:color="auto"/>
        <w:right w:val="none" w:sz="0" w:space="0" w:color="auto"/>
      </w:divBdr>
    </w:div>
    <w:div w:id="1781217762">
      <w:bodyDiv w:val="1"/>
      <w:marLeft w:val="0"/>
      <w:marRight w:val="0"/>
      <w:marTop w:val="0"/>
      <w:marBottom w:val="0"/>
      <w:divBdr>
        <w:top w:val="none" w:sz="0" w:space="0" w:color="auto"/>
        <w:left w:val="none" w:sz="0" w:space="0" w:color="auto"/>
        <w:bottom w:val="none" w:sz="0" w:space="0" w:color="auto"/>
        <w:right w:val="none" w:sz="0" w:space="0" w:color="auto"/>
      </w:divBdr>
    </w:div>
    <w:div w:id="1820613683">
      <w:bodyDiv w:val="1"/>
      <w:marLeft w:val="0"/>
      <w:marRight w:val="0"/>
      <w:marTop w:val="0"/>
      <w:marBottom w:val="0"/>
      <w:divBdr>
        <w:top w:val="none" w:sz="0" w:space="0" w:color="auto"/>
        <w:left w:val="none" w:sz="0" w:space="0" w:color="auto"/>
        <w:bottom w:val="none" w:sz="0" w:space="0" w:color="auto"/>
        <w:right w:val="none" w:sz="0" w:space="0" w:color="auto"/>
      </w:divBdr>
    </w:div>
    <w:div w:id="1823230178">
      <w:bodyDiv w:val="1"/>
      <w:marLeft w:val="0"/>
      <w:marRight w:val="0"/>
      <w:marTop w:val="0"/>
      <w:marBottom w:val="0"/>
      <w:divBdr>
        <w:top w:val="none" w:sz="0" w:space="0" w:color="auto"/>
        <w:left w:val="none" w:sz="0" w:space="0" w:color="auto"/>
        <w:bottom w:val="none" w:sz="0" w:space="0" w:color="auto"/>
        <w:right w:val="none" w:sz="0" w:space="0" w:color="auto"/>
      </w:divBdr>
    </w:div>
    <w:div w:id="1844276907">
      <w:bodyDiv w:val="1"/>
      <w:marLeft w:val="0"/>
      <w:marRight w:val="0"/>
      <w:marTop w:val="0"/>
      <w:marBottom w:val="0"/>
      <w:divBdr>
        <w:top w:val="none" w:sz="0" w:space="0" w:color="auto"/>
        <w:left w:val="none" w:sz="0" w:space="0" w:color="auto"/>
        <w:bottom w:val="none" w:sz="0" w:space="0" w:color="auto"/>
        <w:right w:val="none" w:sz="0" w:space="0" w:color="auto"/>
      </w:divBdr>
      <w:divsChild>
        <w:div w:id="353044187">
          <w:marLeft w:val="1800"/>
          <w:marRight w:val="0"/>
          <w:marTop w:val="100"/>
          <w:marBottom w:val="0"/>
          <w:divBdr>
            <w:top w:val="none" w:sz="0" w:space="0" w:color="auto"/>
            <w:left w:val="none" w:sz="0" w:space="0" w:color="auto"/>
            <w:bottom w:val="none" w:sz="0" w:space="0" w:color="auto"/>
            <w:right w:val="none" w:sz="0" w:space="0" w:color="auto"/>
          </w:divBdr>
        </w:div>
        <w:div w:id="391277270">
          <w:marLeft w:val="1080"/>
          <w:marRight w:val="0"/>
          <w:marTop w:val="100"/>
          <w:marBottom w:val="0"/>
          <w:divBdr>
            <w:top w:val="none" w:sz="0" w:space="0" w:color="auto"/>
            <w:left w:val="none" w:sz="0" w:space="0" w:color="auto"/>
            <w:bottom w:val="none" w:sz="0" w:space="0" w:color="auto"/>
            <w:right w:val="none" w:sz="0" w:space="0" w:color="auto"/>
          </w:divBdr>
        </w:div>
        <w:div w:id="582881445">
          <w:marLeft w:val="1800"/>
          <w:marRight w:val="0"/>
          <w:marTop w:val="100"/>
          <w:marBottom w:val="0"/>
          <w:divBdr>
            <w:top w:val="none" w:sz="0" w:space="0" w:color="auto"/>
            <w:left w:val="none" w:sz="0" w:space="0" w:color="auto"/>
            <w:bottom w:val="none" w:sz="0" w:space="0" w:color="auto"/>
            <w:right w:val="none" w:sz="0" w:space="0" w:color="auto"/>
          </w:divBdr>
        </w:div>
        <w:div w:id="1236085606">
          <w:marLeft w:val="360"/>
          <w:marRight w:val="0"/>
          <w:marTop w:val="200"/>
          <w:marBottom w:val="0"/>
          <w:divBdr>
            <w:top w:val="none" w:sz="0" w:space="0" w:color="auto"/>
            <w:left w:val="none" w:sz="0" w:space="0" w:color="auto"/>
            <w:bottom w:val="none" w:sz="0" w:space="0" w:color="auto"/>
            <w:right w:val="none" w:sz="0" w:space="0" w:color="auto"/>
          </w:divBdr>
        </w:div>
        <w:div w:id="1410929265">
          <w:marLeft w:val="1080"/>
          <w:marRight w:val="0"/>
          <w:marTop w:val="100"/>
          <w:marBottom w:val="0"/>
          <w:divBdr>
            <w:top w:val="none" w:sz="0" w:space="0" w:color="auto"/>
            <w:left w:val="none" w:sz="0" w:space="0" w:color="auto"/>
            <w:bottom w:val="none" w:sz="0" w:space="0" w:color="auto"/>
            <w:right w:val="none" w:sz="0" w:space="0" w:color="auto"/>
          </w:divBdr>
        </w:div>
        <w:div w:id="1429616286">
          <w:marLeft w:val="1080"/>
          <w:marRight w:val="0"/>
          <w:marTop w:val="100"/>
          <w:marBottom w:val="0"/>
          <w:divBdr>
            <w:top w:val="none" w:sz="0" w:space="0" w:color="auto"/>
            <w:left w:val="none" w:sz="0" w:space="0" w:color="auto"/>
            <w:bottom w:val="none" w:sz="0" w:space="0" w:color="auto"/>
            <w:right w:val="none" w:sz="0" w:space="0" w:color="auto"/>
          </w:divBdr>
        </w:div>
        <w:div w:id="1579898868">
          <w:marLeft w:val="1080"/>
          <w:marRight w:val="0"/>
          <w:marTop w:val="100"/>
          <w:marBottom w:val="0"/>
          <w:divBdr>
            <w:top w:val="none" w:sz="0" w:space="0" w:color="auto"/>
            <w:left w:val="none" w:sz="0" w:space="0" w:color="auto"/>
            <w:bottom w:val="none" w:sz="0" w:space="0" w:color="auto"/>
            <w:right w:val="none" w:sz="0" w:space="0" w:color="auto"/>
          </w:divBdr>
        </w:div>
      </w:divsChild>
    </w:div>
    <w:div w:id="1890409369">
      <w:bodyDiv w:val="1"/>
      <w:marLeft w:val="0"/>
      <w:marRight w:val="0"/>
      <w:marTop w:val="0"/>
      <w:marBottom w:val="0"/>
      <w:divBdr>
        <w:top w:val="none" w:sz="0" w:space="0" w:color="auto"/>
        <w:left w:val="none" w:sz="0" w:space="0" w:color="auto"/>
        <w:bottom w:val="none" w:sz="0" w:space="0" w:color="auto"/>
        <w:right w:val="none" w:sz="0" w:space="0" w:color="auto"/>
      </w:divBdr>
      <w:divsChild>
        <w:div w:id="2016299269">
          <w:marLeft w:val="274"/>
          <w:marRight w:val="0"/>
          <w:marTop w:val="240"/>
          <w:marBottom w:val="0"/>
          <w:divBdr>
            <w:top w:val="none" w:sz="0" w:space="0" w:color="auto"/>
            <w:left w:val="none" w:sz="0" w:space="0" w:color="auto"/>
            <w:bottom w:val="none" w:sz="0" w:space="0" w:color="auto"/>
            <w:right w:val="none" w:sz="0" w:space="0" w:color="auto"/>
          </w:divBdr>
        </w:div>
      </w:divsChild>
    </w:div>
    <w:div w:id="1933971204">
      <w:bodyDiv w:val="1"/>
      <w:marLeft w:val="0"/>
      <w:marRight w:val="0"/>
      <w:marTop w:val="0"/>
      <w:marBottom w:val="0"/>
      <w:divBdr>
        <w:top w:val="none" w:sz="0" w:space="0" w:color="auto"/>
        <w:left w:val="none" w:sz="0" w:space="0" w:color="auto"/>
        <w:bottom w:val="none" w:sz="0" w:space="0" w:color="auto"/>
        <w:right w:val="none" w:sz="0" w:space="0" w:color="auto"/>
      </w:divBdr>
    </w:div>
    <w:div w:id="1950966111">
      <w:bodyDiv w:val="1"/>
      <w:marLeft w:val="0"/>
      <w:marRight w:val="0"/>
      <w:marTop w:val="0"/>
      <w:marBottom w:val="0"/>
      <w:divBdr>
        <w:top w:val="none" w:sz="0" w:space="0" w:color="auto"/>
        <w:left w:val="none" w:sz="0" w:space="0" w:color="auto"/>
        <w:bottom w:val="none" w:sz="0" w:space="0" w:color="auto"/>
        <w:right w:val="none" w:sz="0" w:space="0" w:color="auto"/>
      </w:divBdr>
    </w:div>
    <w:div w:id="2033534647">
      <w:bodyDiv w:val="1"/>
      <w:marLeft w:val="0"/>
      <w:marRight w:val="0"/>
      <w:marTop w:val="0"/>
      <w:marBottom w:val="0"/>
      <w:divBdr>
        <w:top w:val="none" w:sz="0" w:space="0" w:color="auto"/>
        <w:left w:val="none" w:sz="0" w:space="0" w:color="auto"/>
        <w:bottom w:val="none" w:sz="0" w:space="0" w:color="auto"/>
        <w:right w:val="none" w:sz="0" w:space="0" w:color="auto"/>
      </w:divBdr>
    </w:div>
    <w:div w:id="2045979170">
      <w:bodyDiv w:val="1"/>
      <w:marLeft w:val="0"/>
      <w:marRight w:val="0"/>
      <w:marTop w:val="0"/>
      <w:marBottom w:val="0"/>
      <w:divBdr>
        <w:top w:val="none" w:sz="0" w:space="0" w:color="auto"/>
        <w:left w:val="none" w:sz="0" w:space="0" w:color="auto"/>
        <w:bottom w:val="none" w:sz="0" w:space="0" w:color="auto"/>
        <w:right w:val="none" w:sz="0" w:space="0" w:color="auto"/>
      </w:divBdr>
    </w:div>
    <w:div w:id="2059433157">
      <w:bodyDiv w:val="1"/>
      <w:marLeft w:val="0"/>
      <w:marRight w:val="0"/>
      <w:marTop w:val="0"/>
      <w:marBottom w:val="0"/>
      <w:divBdr>
        <w:top w:val="none" w:sz="0" w:space="0" w:color="auto"/>
        <w:left w:val="none" w:sz="0" w:space="0" w:color="auto"/>
        <w:bottom w:val="none" w:sz="0" w:space="0" w:color="auto"/>
        <w:right w:val="none" w:sz="0" w:space="0" w:color="auto"/>
      </w:divBdr>
    </w:div>
    <w:div w:id="2100637891">
      <w:bodyDiv w:val="1"/>
      <w:marLeft w:val="0"/>
      <w:marRight w:val="0"/>
      <w:marTop w:val="0"/>
      <w:marBottom w:val="0"/>
      <w:divBdr>
        <w:top w:val="none" w:sz="0" w:space="0" w:color="auto"/>
        <w:left w:val="none" w:sz="0" w:space="0" w:color="auto"/>
        <w:bottom w:val="none" w:sz="0" w:space="0" w:color="auto"/>
        <w:right w:val="none" w:sz="0" w:space="0" w:color="auto"/>
      </w:divBdr>
      <w:divsChild>
        <w:div w:id="109325731">
          <w:marLeft w:val="547"/>
          <w:marRight w:val="0"/>
          <w:marTop w:val="106"/>
          <w:marBottom w:val="0"/>
          <w:divBdr>
            <w:top w:val="none" w:sz="0" w:space="0" w:color="auto"/>
            <w:left w:val="none" w:sz="0" w:space="0" w:color="auto"/>
            <w:bottom w:val="none" w:sz="0" w:space="0" w:color="auto"/>
            <w:right w:val="none" w:sz="0" w:space="0" w:color="auto"/>
          </w:divBdr>
        </w:div>
        <w:div w:id="196822184">
          <w:marLeft w:val="1166"/>
          <w:marRight w:val="0"/>
          <w:marTop w:val="96"/>
          <w:marBottom w:val="0"/>
          <w:divBdr>
            <w:top w:val="none" w:sz="0" w:space="0" w:color="auto"/>
            <w:left w:val="none" w:sz="0" w:space="0" w:color="auto"/>
            <w:bottom w:val="none" w:sz="0" w:space="0" w:color="auto"/>
            <w:right w:val="none" w:sz="0" w:space="0" w:color="auto"/>
          </w:divBdr>
        </w:div>
        <w:div w:id="306668790">
          <w:marLeft w:val="1800"/>
          <w:marRight w:val="0"/>
          <w:marTop w:val="82"/>
          <w:marBottom w:val="0"/>
          <w:divBdr>
            <w:top w:val="none" w:sz="0" w:space="0" w:color="auto"/>
            <w:left w:val="none" w:sz="0" w:space="0" w:color="auto"/>
            <w:bottom w:val="none" w:sz="0" w:space="0" w:color="auto"/>
            <w:right w:val="none" w:sz="0" w:space="0" w:color="auto"/>
          </w:divBdr>
        </w:div>
        <w:div w:id="823862728">
          <w:marLeft w:val="547"/>
          <w:marRight w:val="0"/>
          <w:marTop w:val="106"/>
          <w:marBottom w:val="0"/>
          <w:divBdr>
            <w:top w:val="none" w:sz="0" w:space="0" w:color="auto"/>
            <w:left w:val="none" w:sz="0" w:space="0" w:color="auto"/>
            <w:bottom w:val="none" w:sz="0" w:space="0" w:color="auto"/>
            <w:right w:val="none" w:sz="0" w:space="0" w:color="auto"/>
          </w:divBdr>
        </w:div>
        <w:div w:id="1323779016">
          <w:marLeft w:val="1166"/>
          <w:marRight w:val="0"/>
          <w:marTop w:val="96"/>
          <w:marBottom w:val="0"/>
          <w:divBdr>
            <w:top w:val="none" w:sz="0" w:space="0" w:color="auto"/>
            <w:left w:val="none" w:sz="0" w:space="0" w:color="auto"/>
            <w:bottom w:val="none" w:sz="0" w:space="0" w:color="auto"/>
            <w:right w:val="none" w:sz="0" w:space="0" w:color="auto"/>
          </w:divBdr>
        </w:div>
        <w:div w:id="1527907022">
          <w:marLeft w:val="547"/>
          <w:marRight w:val="0"/>
          <w:marTop w:val="106"/>
          <w:marBottom w:val="0"/>
          <w:divBdr>
            <w:top w:val="none" w:sz="0" w:space="0" w:color="auto"/>
            <w:left w:val="none" w:sz="0" w:space="0" w:color="auto"/>
            <w:bottom w:val="none" w:sz="0" w:space="0" w:color="auto"/>
            <w:right w:val="none" w:sz="0" w:space="0" w:color="auto"/>
          </w:divBdr>
        </w:div>
        <w:div w:id="1562862125">
          <w:marLeft w:val="547"/>
          <w:marRight w:val="0"/>
          <w:marTop w:val="106"/>
          <w:marBottom w:val="0"/>
          <w:divBdr>
            <w:top w:val="none" w:sz="0" w:space="0" w:color="auto"/>
            <w:left w:val="none" w:sz="0" w:space="0" w:color="auto"/>
            <w:bottom w:val="none" w:sz="0" w:space="0" w:color="auto"/>
            <w:right w:val="none" w:sz="0" w:space="0" w:color="auto"/>
          </w:divBdr>
        </w:div>
        <w:div w:id="1721202579">
          <w:marLeft w:val="1800"/>
          <w:marRight w:val="0"/>
          <w:marTop w:val="82"/>
          <w:marBottom w:val="0"/>
          <w:divBdr>
            <w:top w:val="none" w:sz="0" w:space="0" w:color="auto"/>
            <w:left w:val="none" w:sz="0" w:space="0" w:color="auto"/>
            <w:bottom w:val="none" w:sz="0" w:space="0" w:color="auto"/>
            <w:right w:val="none" w:sz="0" w:space="0" w:color="auto"/>
          </w:divBdr>
        </w:div>
      </w:divsChild>
    </w:div>
    <w:div w:id="2125229352">
      <w:bodyDiv w:val="1"/>
      <w:marLeft w:val="0"/>
      <w:marRight w:val="0"/>
      <w:marTop w:val="0"/>
      <w:marBottom w:val="0"/>
      <w:divBdr>
        <w:top w:val="none" w:sz="0" w:space="0" w:color="auto"/>
        <w:left w:val="none" w:sz="0" w:space="0" w:color="auto"/>
        <w:bottom w:val="none" w:sz="0" w:space="0" w:color="auto"/>
        <w:right w:val="none" w:sz="0" w:space="0" w:color="auto"/>
      </w:divBdr>
      <w:divsChild>
        <w:div w:id="55393238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4.wmf"/><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oleObject" Target="embeddings/oleObject26.bin"/><Relationship Id="rId63" Type="http://schemas.openxmlformats.org/officeDocument/2006/relationships/oleObject" Target="embeddings/oleObject34.bin"/><Relationship Id="rId68" Type="http://schemas.openxmlformats.org/officeDocument/2006/relationships/oleObject" Target="embeddings/oleObject39.bin"/><Relationship Id="rId76"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oleObject" Target="embeddings/oleObject42.bin"/><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8.bin"/><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8.bin"/><Relationship Id="rId53" Type="http://schemas.openxmlformats.org/officeDocument/2006/relationships/oleObject" Target="embeddings/oleObject24.bin"/><Relationship Id="rId58" Type="http://schemas.openxmlformats.org/officeDocument/2006/relationships/oleObject" Target="embeddings/oleObject29.bin"/><Relationship Id="rId66" Type="http://schemas.openxmlformats.org/officeDocument/2006/relationships/oleObject" Target="embeddings/oleObject37.bin"/><Relationship Id="rId74" Type="http://schemas.openxmlformats.org/officeDocument/2006/relationships/oleObject" Target="embeddings/oleObject45.bin"/><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oleObject" Target="embeddings/oleObject28.bin"/><Relationship Id="rId61" Type="http://schemas.openxmlformats.org/officeDocument/2006/relationships/oleObject" Target="embeddings/oleObject32.bin"/><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oleObject" Target="embeddings/oleObject23.bin"/><Relationship Id="rId60" Type="http://schemas.openxmlformats.org/officeDocument/2006/relationships/oleObject" Target="embeddings/oleObject31.bin"/><Relationship Id="rId65" Type="http://schemas.openxmlformats.org/officeDocument/2006/relationships/oleObject" Target="embeddings/oleObject36.bin"/><Relationship Id="rId73" Type="http://schemas.openxmlformats.org/officeDocument/2006/relationships/oleObject" Target="embeddings/oleObject4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5.wmf"/><Relationship Id="rId48" Type="http://schemas.openxmlformats.org/officeDocument/2006/relationships/image" Target="media/image17.wmf"/><Relationship Id="rId56" Type="http://schemas.openxmlformats.org/officeDocument/2006/relationships/oleObject" Target="embeddings/oleObject27.bin"/><Relationship Id="rId64" Type="http://schemas.openxmlformats.org/officeDocument/2006/relationships/oleObject" Target="embeddings/oleObject35.bin"/><Relationship Id="rId69" Type="http://schemas.openxmlformats.org/officeDocument/2006/relationships/oleObject" Target="embeddings/oleObject40.bin"/><Relationship Id="rId8" Type="http://schemas.openxmlformats.org/officeDocument/2006/relationships/styles" Target="styles.xml"/><Relationship Id="rId51" Type="http://schemas.openxmlformats.org/officeDocument/2006/relationships/oleObject" Target="embeddings/oleObject22.bin"/><Relationship Id="rId72" Type="http://schemas.openxmlformats.org/officeDocument/2006/relationships/oleObject" Target="embeddings/oleObject43.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6.wmf"/><Relationship Id="rId59" Type="http://schemas.openxmlformats.org/officeDocument/2006/relationships/oleObject" Target="embeddings/oleObject30.bin"/><Relationship Id="rId67" Type="http://schemas.openxmlformats.org/officeDocument/2006/relationships/oleObject" Target="embeddings/oleObject38.bin"/><Relationship Id="rId20" Type="http://schemas.openxmlformats.org/officeDocument/2006/relationships/oleObject" Target="embeddings/oleObject3.bin"/><Relationship Id="rId41" Type="http://schemas.openxmlformats.org/officeDocument/2006/relationships/oleObject" Target="embeddings/oleObject15.bin"/><Relationship Id="rId54" Type="http://schemas.openxmlformats.org/officeDocument/2006/relationships/oleObject" Target="embeddings/oleObject25.bin"/><Relationship Id="rId62" Type="http://schemas.openxmlformats.org/officeDocument/2006/relationships/oleObject" Target="embeddings/oleObject33.bin"/><Relationship Id="rId70" Type="http://schemas.openxmlformats.org/officeDocument/2006/relationships/oleObject" Target="embeddings/oleObject41.bin"/><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1172E-8EEA-46FE-923F-ACE2A8CFC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2389B-A108-438A-A1E5-D7CD1BEF2CC8}">
  <ds:schemaRefs>
    <ds:schemaRef ds:uri="http://schemas.microsoft.com/office/2006/metadata/longProperties"/>
  </ds:schemaRefs>
</ds:datastoreItem>
</file>

<file path=customXml/itemProps3.xml><?xml version="1.0" encoding="utf-8"?>
<ds:datastoreItem xmlns:ds="http://schemas.openxmlformats.org/officeDocument/2006/customXml" ds:itemID="{720A879D-A907-46A3-967F-852776BFF9AC}">
  <ds:schemaRefs>
    <ds:schemaRef ds:uri="http://schemas.microsoft.com/sharepoint/events"/>
  </ds:schemaRefs>
</ds:datastoreItem>
</file>

<file path=customXml/itemProps4.xml><?xml version="1.0" encoding="utf-8"?>
<ds:datastoreItem xmlns:ds="http://schemas.openxmlformats.org/officeDocument/2006/customXml" ds:itemID="{8C0B99D4-37BA-4786-BDBB-6E33B565639A}">
  <ds:schemaRefs>
    <ds:schemaRef ds:uri="http://schemas.microsoft.com/sharepoint/v3/contenttype/forms"/>
  </ds:schemaRefs>
</ds:datastoreItem>
</file>

<file path=customXml/itemProps5.xml><?xml version="1.0" encoding="utf-8"?>
<ds:datastoreItem xmlns:ds="http://schemas.openxmlformats.org/officeDocument/2006/customXml" ds:itemID="{A30A76AF-B652-4883-B934-6F96622F6589}">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B1791F81-CAE5-4E6A-8FC9-AC7B05808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1970</Words>
  <Characters>11229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Sari (Nokia - FI/Espoo)</dc:creator>
  <cp:keywords/>
  <dc:description/>
  <cp:lastModifiedBy>Nokia</cp:lastModifiedBy>
  <cp:revision>2</cp:revision>
  <dcterms:created xsi:type="dcterms:W3CDTF">2018-09-28T13:26:00Z</dcterms:created>
  <dcterms:modified xsi:type="dcterms:W3CDTF">2018-09-28T13:26:00Z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5AIRPNAIUNRU-859666464-1246</vt:lpwstr>
  </property>
  <property fmtid="{D5CDD505-2E9C-101B-9397-08002B2CF9AE}" pid="4" name="_dlc_DocIdItemGuid">
    <vt:lpwstr>e5f77f30-c970-4d29-8037-510b49d68091</vt:lpwstr>
  </property>
  <property fmtid="{D5CDD505-2E9C-101B-9397-08002B2CF9AE}" pid="5" name="_dlc_DocIdUrl">
    <vt:lpwstr>https://nokia.sharepoint.com/sites/c5g/e2earch/_layouts/15/DocIdRedir.aspx?ID=5AIRPNAIUNRU-859666464-1246, 5AIRPNAIUNRU-859666464-1246</vt:lpwstr>
  </property>
</Properties>
</file>